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800"/>
      </w:pPr>
      <w:r>
        <w:rPr>
          <w:rFonts w:ascii="Calibri" w:cs="Calibri" w:eastAsia="Calibri" w:hAnsi="Calibri"/>
          <w:b/>
          <w:bCs/>
          <w:color w:val="C25F08"/>
          <w:spacing w:val="60"/>
          <w:sz w:val="20"/>
          <w:szCs w:val="20"/>
        </w:rPr>
        <w:t xml:space="preserve">POLICY TEMPLATE</w:t>
      </w:r>
    </w:p>
    <w:p>
      <w:pPr>
        <w:spacing w:after="160"/>
      </w:pPr>
      <w:r>
        <w:rPr>
          <w:rFonts w:ascii="Calibri" w:cs="Calibri" w:eastAsia="Calibri" w:hAnsi="Calibri"/>
          <w:b/>
          <w:bCs/>
          <w:color w:val="0A1628"/>
          <w:sz w:val="56"/>
          <w:szCs w:val="56"/>
        </w:rPr>
        <w:t xml:space="preserve">Artificial Intelligence</w:t>
      </w:r>
    </w:p>
    <w:p>
      <w:pPr>
        <w:spacing w:after="300"/>
      </w:pPr>
      <w:r>
        <w:rPr>
          <w:rFonts w:ascii="Calibri" w:cs="Calibri" w:eastAsia="Calibri" w:hAnsi="Calibri"/>
          <w:b/>
          <w:bCs/>
          <w:color w:val="0A1628"/>
          <w:sz w:val="56"/>
          <w:szCs w:val="56"/>
        </w:rPr>
        <w:t xml:space="preserve">Acceptable Use Policy</w:t>
      </w:r>
    </w:p>
    <w:p>
      <w:pPr>
        <w:spacing w:after="400" w:line="276"/>
      </w:pPr>
      <w:r>
        <w:rPr>
          <w:rFonts w:ascii="Calibri" w:cs="Calibri" w:eastAsia="Calibri" w:hAnsi="Calibri"/>
          <w:color w:val="6B8BA4"/>
          <w:sz w:val="23"/>
          <w:szCs w:val="23"/>
        </w:rPr>
        <w:t xml:space="preserve">An editable template covering approved tools, prohibited data, prompt hygiene, human review, and incident escalation. Replace every bracketed value and delete the drafting notes before adoption.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shd w:fill="0A1628" w:color="auto" w:val="clear"/>
            <w:tcMar>
              <w:top w:type="dxa" w:w="90"/>
              <w:left w:type="dxa" w:w="130"/>
              <w:bottom w:type="dxa" w:w="90"/>
              <w:right w:type="dxa" w:w="130"/>
            </w:tcMar>
          </w:tcPr>
          <w:p>
            <w:pPr>
              <w:spacing w:after="0" w:line="260"/>
            </w:pPr>
            <w:r>
              <w:rPr>
                <w:rFonts w:ascii="Calibri" w:cs="Calibri" w:eastAsia="Calibri" w:hAnsi="Calibri"/>
                <w:b/>
                <w:bCs/>
                <w:color w:val="FFFFFF"/>
                <w:sz w:val="18"/>
                <w:szCs w:val="18"/>
              </w:rPr>
              <w:t xml:space="preserve">Field</w:t>
            </w:r>
          </w:p>
        </w:tc>
        <w:tc>
          <w:tcPr>
            <w:tcW w:type="dxa" w:w="6760"/>
            <w:shd w:fill="0A1628" w:color="auto" w:val="clear"/>
            <w:tcMar>
              <w:top w:type="dxa" w:w="90"/>
              <w:left w:type="dxa" w:w="130"/>
              <w:bottom w:type="dxa" w:w="90"/>
              <w:right w:type="dxa" w:w="130"/>
            </w:tcMar>
          </w:tcPr>
          <w:p>
            <w:pPr>
              <w:spacing w:after="0" w:line="260"/>
            </w:pPr>
            <w:r>
              <w:rPr>
                <w:rFonts w:ascii="Calibri" w:cs="Calibri" w:eastAsia="Calibri" w:hAnsi="Calibri"/>
                <w:b/>
                <w:bCs/>
                <w:color w:val="FFFFFF"/>
                <w:sz w:val="18"/>
                <w:szCs w:val="18"/>
              </w:rPr>
              <w:t xml:space="preserve">Entry</w:t>
            </w:r>
          </w:p>
        </w:tc>
      </w:tr>
      <w:tr>
        <w:tc>
          <w:tcPr>
            <w:tcW w:type="dxa" w:w="26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Policy owner</w:t>
            </w:r>
          </w:p>
        </w:tc>
        <w:tc>
          <w:tcPr>
            <w:tcW w:type="dxa" w:w="67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[Name, Title]</w:t>
            </w:r>
          </w:p>
        </w:tc>
      </w:tr>
      <w:tr>
        <w:tc>
          <w:tcPr>
            <w:tcW w:type="dxa" w:w="26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Approved by</w:t>
            </w:r>
          </w:p>
        </w:tc>
        <w:tc>
          <w:tcPr>
            <w:tcW w:type="dxa" w:w="676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[Name, Title]</w:t>
            </w:r>
          </w:p>
        </w:tc>
      </w:tr>
      <w:tr>
        <w:tc>
          <w:tcPr>
            <w:tcW w:type="dxa" w:w="26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Effective date</w:t>
            </w:r>
          </w:p>
        </w:tc>
        <w:tc>
          <w:tcPr>
            <w:tcW w:type="dxa" w:w="67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[YYYY-MM-DD]</w:t>
            </w:r>
          </w:p>
        </w:tc>
      </w:tr>
      <w:tr>
        <w:tc>
          <w:tcPr>
            <w:tcW w:type="dxa" w:w="26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Version</w:t>
            </w:r>
          </w:p>
        </w:tc>
        <w:tc>
          <w:tcPr>
            <w:tcW w:type="dxa" w:w="676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[1.0]</w:t>
            </w:r>
          </w:p>
        </w:tc>
      </w:tr>
      <w:tr>
        <w:tc>
          <w:tcPr>
            <w:tcW w:type="dxa" w:w="26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Review cycle</w:t>
            </w:r>
          </w:p>
        </w:tc>
        <w:tc>
          <w:tcPr>
            <w:tcW w:type="dxa" w:w="67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[Annual / Semi-annual]</w:t>
            </w:r>
          </w:p>
        </w:tc>
      </w:tr>
      <w:tr>
        <w:tc>
          <w:tcPr>
            <w:tcW w:type="dxa" w:w="26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Next review</w:t>
            </w:r>
          </w:p>
        </w:tc>
        <w:tc>
          <w:tcPr>
            <w:tcW w:type="dxa" w:w="676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[YYYY-MM-DD]</w:t>
            </w:r>
          </w:p>
        </w:tc>
      </w:tr>
      <w:tr>
        <w:tc>
          <w:tcPr>
            <w:tcW w:type="dxa" w:w="26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Applies to</w:t>
            </w:r>
          </w:p>
        </w:tc>
        <w:tc>
          <w:tcPr>
            <w:tcW w:type="dxa" w:w="67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[All employees, contractors, and temporary staff]</w:t>
            </w:r>
          </w:p>
        </w:tc>
      </w:tr>
      <w:tr>
        <w:tc>
          <w:tcPr>
            <w:tcW w:type="dxa" w:w="26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Classification</w:t>
            </w:r>
          </w:p>
        </w:tc>
        <w:tc>
          <w:tcPr>
            <w:tcW w:type="dxa" w:w="676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[Internal]</w:t>
            </w:r>
          </w:p>
        </w:tc>
      </w:tr>
    </w:tbl>
    <w:p/>
    <w:p/>
    <w:p>
      <w:pPr>
        <w:spacing w:after="40" w:line="276"/>
      </w:pPr>
      <w:r>
        <w:rPr>
          <w:rFonts w:ascii="Calibri" w:cs="Calibri" w:eastAsia="Calibri" w:hAnsi="Calibri"/>
          <w:color w:val="6B8BA4"/>
          <w:sz w:val="19"/>
          <w:szCs w:val="19"/>
        </w:rPr>
        <w:t xml:space="preserve">Provided by Operational ITAM — a brand of EpicB Media LLC</w:t>
      </w:r>
    </w:p>
    <w:p>
      <w:pPr>
        <w:spacing w:after="300" w:line="276"/>
      </w:pPr>
      <w:r>
        <w:rPr>
          <w:rFonts w:ascii="Calibri" w:cs="Calibri" w:eastAsia="Calibri" w:hAnsi="Calibri"/>
          <w:color w:val="1E7E99"/>
          <w:sz w:val="19"/>
          <w:szCs w:val="19"/>
        </w:rPr>
        <w:t xml:space="preserve">www.operationalitam.com  ·  contact@operationalitam.com</w:t>
      </w:r>
    </w:p>
    <w:tbl>
      <w:tblPr>
        <w:tblW w:type="dxa" w:w="9360"/>
        <w:tblBorders>
          <w:top w:val="single" w:color="D4DCE4" w:sz="2"/>
          <w:left w:val="single" w:color="C25F08" w:sz="18"/>
          <w:bottom w:val="single" w:color="D4DCE4" w:sz="2"/>
          <w:right w:val="single" w:color="D4DCE4" w:sz="2"/>
          <w:insideH w:val="none"/>
          <w:insideV w:val="none"/>
        </w:tblBorders>
      </w:tblPr>
      <w:tblGrid>
        <w:gridCol w:w="9360"/>
      </w:tblGrid>
      <w:tr>
        <w:tc>
          <w:tcPr>
            <w:tcW w:type="dxa" w:w="9360"/>
            <w:shd w:fill="F4F7FA" w:color="auto" w:val="clear"/>
            <w:tcMar>
              <w:top w:type="dxa" w:w="140"/>
              <w:left w:type="dxa" w:w="180"/>
              <w:bottom w:type="dxa" w:w="140"/>
              <w:right w:type="dxa" w:w="180"/>
            </w:tcMar>
          </w:tcPr>
          <w:p>
            <w:pPr>
              <w:spacing w:after="60"/>
            </w:pPr>
            <w:r>
              <w:rPr>
                <w:rFonts w:ascii="Calibri" w:cs="Calibri" w:eastAsia="Calibri" w:hAnsi="Calibri"/>
                <w:b/>
                <w:bCs/>
                <w:color w:val="C25F08"/>
                <w:sz w:val="17"/>
                <w:szCs w:val="17"/>
              </w:rPr>
              <w:t xml:space="preserve">DRAFTING NOTE — This is a template, not legal advice</w:t>
            </w:r>
          </w:p>
          <w:p>
            <w:pPr>
              <w:spacing w:after="0" w:line="260"/>
            </w:pPr>
            <w:r>
              <w:rPr>
                <w:rFonts w:ascii="Calibri" w:cs="Calibri" w:eastAsia="Calibri" w:hAnsi="Calibri"/>
                <w:i/>
                <w:iCs/>
                <w:color w:val="6B8BA4"/>
                <w:sz w:val="18"/>
                <w:szCs w:val="18"/>
              </w:rPr>
              <w:t xml:space="preserve">This document is a starting point drafted from common practice. It is not legal advice and it has not been reviewed against your jurisdiction, your industry regulator, or your existing employment agreements. Have counsel review it before adoption, particularly the monitoring, enforcement, and intellectual property sections.</w:t>
            </w:r>
          </w:p>
        </w:tc>
      </w:tr>
    </w:tbl>
    <w:p>
      <w:r>
        <w:br w:type="page"/>
      </w:r>
    </w:p>
    <w:p>
      <w:pPr>
        <w:pStyle w:val="Heading1"/>
        <w:spacing w:after="160" w:before="340"/>
      </w:pPr>
      <w:r>
        <w:rPr>
          <w:rFonts w:ascii="Calibri" w:cs="Calibri" w:eastAsia="Calibri" w:hAnsi="Calibri"/>
          <w:b/>
          <w:bCs/>
          <w:color w:val="0A1628"/>
          <w:sz w:val="28"/>
          <w:szCs w:val="28"/>
        </w:rPr>
        <w:t xml:space="preserve">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spacing w:after="160" w:before="340"/>
      </w:pPr>
      <w:r>
        <w:rPr>
          <w:rFonts w:ascii="Calibri" w:cs="Calibri" w:eastAsia="Calibri" w:hAnsi="Calibri"/>
          <w:b/>
          <w:bCs/>
          <w:color w:val="0A1628"/>
          <w:sz w:val="28"/>
          <w:szCs w:val="28"/>
        </w:rPr>
        <w:t xml:space="preserve">1. Purpose and Scope</w:t>
      </w:r>
    </w:p>
    <w:p>
      <w:pPr>
        <w:pStyle w:val="Heading2"/>
        <w:spacing w:after="110" w:before="240"/>
      </w:pPr>
      <w:r>
        <w:rPr>
          <w:rFonts w:ascii="Calibri" w:cs="Calibri" w:eastAsia="Calibri" w:hAnsi="Calibri"/>
          <w:b/>
          <w:bCs/>
          <w:color w:val="1E7E99"/>
          <w:sz w:val="23"/>
          <w:szCs w:val="23"/>
        </w:rPr>
        <w:t xml:space="preserve">1.1 Purpose</w:t>
      </w:r>
    </w:p>
    <w:p>
      <w:pPr>
        <w:spacing w:after="140" w:line="276"/>
      </w:pPr>
      <w:r>
        <w:rPr>
          <w:rFonts w:ascii="Calibri" w:cs="Calibri" w:eastAsia="Calibri" w:hAnsi="Calibri"/>
          <w:color w:val="33475B"/>
          <w:sz w:val="21"/>
          <w:szCs w:val="21"/>
        </w:rPr>
        <w:t xml:space="preserve">[Organization] recognizes that artificial intelligence tools can improve the speed and quality of our work. This policy exists so that people can use them confidently, without putting our data, our clients, or our obligations at risk.</w:t>
      </w:r>
    </w:p>
    <w:p>
      <w:pPr>
        <w:spacing w:after="140" w:line="276"/>
      </w:pPr>
      <w:r>
        <w:rPr>
          <w:rFonts w:ascii="Calibri" w:cs="Calibri" w:eastAsia="Calibri" w:hAnsi="Calibri"/>
          <w:color w:val="33475B"/>
          <w:sz w:val="21"/>
          <w:szCs w:val="21"/>
        </w:rPr>
        <w:t xml:space="preserve">It sets out which tools are approved, what information may and may not be entered into them, who is accountable for the output, and what to do when something goes wrong.</w:t>
      </w:r>
    </w:p>
    <w:p>
      <w:pPr>
        <w:pStyle w:val="Heading2"/>
        <w:spacing w:after="110" w:before="240"/>
      </w:pPr>
      <w:r>
        <w:rPr>
          <w:rFonts w:ascii="Calibri" w:cs="Calibri" w:eastAsia="Calibri" w:hAnsi="Calibri"/>
          <w:b/>
          <w:bCs/>
          <w:color w:val="1E7E99"/>
          <w:sz w:val="23"/>
          <w:szCs w:val="23"/>
        </w:rPr>
        <w:t xml:space="preserve">1.2 Scope</w:t>
      </w:r>
    </w:p>
    <w:p>
      <w:pPr>
        <w:spacing w:after="140" w:line="276"/>
      </w:pPr>
      <w:r>
        <w:rPr>
          <w:rFonts w:ascii="Calibri" w:cs="Calibri" w:eastAsia="Calibri" w:hAnsi="Calibri"/>
          <w:color w:val="33475B"/>
          <w:sz w:val="21"/>
          <w:szCs w:val="21"/>
        </w:rPr>
        <w:t xml:space="preserve">This policy applies to everyone working for or on behalf of [Organization], including employees, contractors, temporary staff, and third parties with access to our systems or data.</w:t>
      </w:r>
    </w:p>
    <w:p>
      <w:pPr>
        <w:spacing w:after="140" w:line="276"/>
      </w:pPr>
      <w:r>
        <w:rPr>
          <w:rFonts w:ascii="Calibri" w:cs="Calibri" w:eastAsia="Calibri" w:hAnsi="Calibri"/>
          <w:color w:val="33475B"/>
          <w:sz w:val="21"/>
          <w:szCs w:val="21"/>
        </w:rPr>
        <w:t xml:space="preserve">It covers all artificial intelligence tools, whether:</w:t>
      </w:r>
    </w:p>
    <w:p>
      <w:pPr>
        <w:pStyle w:val="ListParagraph"/>
        <w:numPr>
          <w:ilvl w:val="0"/>
          <w:numId w:val="2"/>
        </w:numPr>
        <w:spacing w:after="80" w:line="276"/>
      </w:pPr>
      <w:r>
        <w:rPr>
          <w:rFonts w:ascii="Calibri" w:cs="Calibri" w:eastAsia="Calibri" w:hAnsi="Calibri"/>
          <w:color w:val="33475B"/>
          <w:sz w:val="21"/>
          <w:szCs w:val="21"/>
        </w:rPr>
        <w:t xml:space="preserve">Licensed by [Organization] and provided to you</w:t>
      </w:r>
    </w:p>
    <w:p>
      <w:pPr>
        <w:pStyle w:val="ListParagraph"/>
        <w:numPr>
          <w:ilvl w:val="0"/>
          <w:numId w:val="2"/>
        </w:numPr>
        <w:spacing w:after="80" w:line="276"/>
      </w:pPr>
      <w:r>
        <w:rPr>
          <w:rFonts w:ascii="Calibri" w:cs="Calibri" w:eastAsia="Calibri" w:hAnsi="Calibri"/>
          <w:color w:val="33475B"/>
          <w:sz w:val="21"/>
          <w:szCs w:val="21"/>
        </w:rPr>
        <w:t xml:space="preserve">Embedded as a feature inside software we already use</w:t>
      </w:r>
    </w:p>
    <w:p>
      <w:pPr>
        <w:pStyle w:val="ListParagraph"/>
        <w:numPr>
          <w:ilvl w:val="0"/>
          <w:numId w:val="2"/>
        </w:numPr>
        <w:spacing w:after="80" w:line="276"/>
      </w:pPr>
      <w:r>
        <w:rPr>
          <w:rFonts w:ascii="Calibri" w:cs="Calibri" w:eastAsia="Calibri" w:hAnsi="Calibri"/>
          <w:color w:val="33475B"/>
          <w:sz w:val="21"/>
          <w:szCs w:val="21"/>
        </w:rPr>
        <w:t xml:space="preserve">Accessed through a personal account, free tier, or browser extension</w:t>
      </w:r>
    </w:p>
    <w:p>
      <w:pPr>
        <w:pStyle w:val="ListParagraph"/>
        <w:numPr>
          <w:ilvl w:val="0"/>
          <w:numId w:val="2"/>
        </w:numPr>
        <w:spacing w:after="80" w:line="276"/>
      </w:pPr>
      <w:r>
        <w:rPr>
          <w:rFonts w:ascii="Calibri" w:cs="Calibri" w:eastAsia="Calibri" w:hAnsi="Calibri"/>
          <w:color w:val="33475B"/>
          <w:sz w:val="21"/>
          <w:szCs w:val="21"/>
        </w:rPr>
        <w:t xml:space="preserve">Provided by a client, partner, or vendor for use on their work</w:t>
      </w:r>
    </w:p>
    <w:p>
      <w:pPr>
        <w:spacing w:after="140" w:line="276"/>
      </w:pPr>
      <w:r>
        <w:rPr>
          <w:rFonts w:ascii="Calibri" w:cs="Calibri" w:eastAsia="Calibri" w:hAnsi="Calibri"/>
          <w:b/>
          <w:bCs/>
          <w:color w:val="0A1628"/>
          <w:sz w:val="21"/>
          <w:szCs w:val="21"/>
        </w:rPr>
        <w:t xml:space="preserve">The last two matter most. </w:t>
      </w:r>
      <w:r>
        <w:rPr>
          <w:rFonts w:ascii="Calibri" w:cs="Calibri" w:eastAsia="Calibri" w:hAnsi="Calibri"/>
          <w:color w:val="33475B"/>
          <w:sz w:val="21"/>
          <w:szCs w:val="21"/>
        </w:rPr>
        <w:t xml:space="preserve">The tools most likely to create a problem are the ones nobody licensed and nobody reviewed.</w:t>
      </w:r>
    </w:p>
    <w:p>
      <w:pPr>
        <w:pStyle w:val="Heading2"/>
        <w:spacing w:after="110" w:before="240"/>
      </w:pPr>
      <w:r>
        <w:rPr>
          <w:rFonts w:ascii="Calibri" w:cs="Calibri" w:eastAsia="Calibri" w:hAnsi="Calibri"/>
          <w:b/>
          <w:bCs/>
          <w:color w:val="1E7E99"/>
          <w:sz w:val="23"/>
          <w:szCs w:val="23"/>
        </w:rPr>
        <w:t xml:space="preserve">1.3 Guiding principle</w:t>
      </w:r>
    </w:p>
    <w:p>
      <w:pPr>
        <w:spacing w:after="140" w:line="276"/>
      </w:pPr>
      <w:r>
        <w:rPr>
          <w:rFonts w:ascii="Calibri" w:cs="Calibri" w:eastAsia="Calibri" w:hAnsi="Calibri"/>
          <w:b/>
          <w:bCs/>
          <w:color w:val="0A1628"/>
          <w:sz w:val="21"/>
          <w:szCs w:val="21"/>
        </w:rPr>
        <w:t xml:space="preserve">You remain accountable for anything you produce with AI assistance, exactly as you would if you had produced it yourself. </w:t>
      </w:r>
      <w:r>
        <w:rPr>
          <w:rFonts w:ascii="Calibri" w:cs="Calibri" w:eastAsia="Calibri" w:hAnsi="Calibri"/>
          <w:color w:val="33475B"/>
          <w:sz w:val="21"/>
          <w:szCs w:val="21"/>
        </w:rPr>
        <w:t xml:space="preserve">AI is a drafting and analysis aid. It is not a reviewer, an approver, or a person to whom responsibility can be delegated.</w:t>
      </w:r>
    </w:p>
    <w:tbl>
      <w:tblPr>
        <w:tblW w:type="dxa" w:w="9360"/>
        <w:tblBorders>
          <w:top w:val="single" w:color="D4DCE4" w:sz="2"/>
          <w:left w:val="single" w:color="C25F08" w:sz="18"/>
          <w:bottom w:val="single" w:color="D4DCE4" w:sz="2"/>
          <w:right w:val="single" w:color="D4DCE4" w:sz="2"/>
          <w:insideH w:val="none"/>
          <w:insideV w:val="none"/>
        </w:tblBorders>
      </w:tblPr>
      <w:tblGrid>
        <w:gridCol w:w="9360"/>
      </w:tblGrid>
      <w:tr>
        <w:tc>
          <w:tcPr>
            <w:tcW w:type="dxa" w:w="9360"/>
            <w:shd w:fill="F4F7FA" w:color="auto" w:val="clear"/>
            <w:tcMar>
              <w:top w:type="dxa" w:w="140"/>
              <w:left w:type="dxa" w:w="180"/>
              <w:bottom w:type="dxa" w:w="140"/>
              <w:right w:type="dxa" w:w="180"/>
            </w:tcMar>
          </w:tcPr>
          <w:p>
            <w:pPr>
              <w:spacing w:after="60"/>
            </w:pPr>
            <w:r>
              <w:rPr>
                <w:rFonts w:ascii="Calibri" w:cs="Calibri" w:eastAsia="Calibri" w:hAnsi="Calibri"/>
                <w:b/>
                <w:bCs/>
                <w:color w:val="C25F08"/>
                <w:sz w:val="17"/>
                <w:szCs w:val="17"/>
              </w:rPr>
              <w:t xml:space="preserve">DRAFTING NOTE — Set the tone deliberately</w:t>
            </w:r>
          </w:p>
          <w:p>
            <w:pPr>
              <w:spacing w:after="0" w:line="260"/>
            </w:pPr>
            <w:r>
              <w:rPr>
                <w:rFonts w:ascii="Calibri" w:cs="Calibri" w:eastAsia="Calibri" w:hAnsi="Calibri"/>
                <w:i/>
                <w:iCs/>
                <w:color w:val="6B8BA4"/>
                <w:sz w:val="18"/>
                <w:szCs w:val="18"/>
              </w:rPr>
              <w:t xml:space="preserve">Policies written primarily to prohibit tend to move the activity out of view rather than stop it. If your organization intends to be permissive within clear limits, say so here explicitly — people follow rules they understand the reason for.</w:t>
            </w:r>
          </w:p>
        </w:tc>
      </w:tr>
    </w:tbl>
    <w:p>
      <w:pPr>
        <w:pStyle w:val="Heading1"/>
        <w:spacing w:after="160" w:before="340"/>
      </w:pPr>
      <w:r>
        <w:rPr>
          <w:rFonts w:ascii="Calibri" w:cs="Calibri" w:eastAsia="Calibri" w:hAnsi="Calibri"/>
          <w:b/>
          <w:bCs/>
          <w:color w:val="0A1628"/>
          <w:sz w:val="28"/>
          <w:szCs w:val="28"/>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00"/>
        <w:gridCol w:w="7060"/>
      </w:tblGrid>
      <w:tr>
        <w:trPr>
          <w:tblHeader/>
        </w:trPr>
        <w:tc>
          <w:tcPr>
            <w:tcW w:type="dxa" w:w="2300"/>
            <w:shd w:fill="0A1628" w:color="auto" w:val="clear"/>
            <w:tcMar>
              <w:top w:type="dxa" w:w="90"/>
              <w:left w:type="dxa" w:w="130"/>
              <w:bottom w:type="dxa" w:w="90"/>
              <w:right w:type="dxa" w:w="130"/>
            </w:tcMar>
          </w:tcPr>
          <w:p>
            <w:pPr>
              <w:spacing w:after="0" w:line="260"/>
            </w:pPr>
            <w:r>
              <w:rPr>
                <w:rFonts w:ascii="Calibri" w:cs="Calibri" w:eastAsia="Calibri" w:hAnsi="Calibri"/>
                <w:b/>
                <w:bCs/>
                <w:color w:val="FFFFFF"/>
                <w:sz w:val="18"/>
                <w:szCs w:val="18"/>
              </w:rPr>
              <w:t xml:space="preserve">Term</w:t>
            </w:r>
          </w:p>
        </w:tc>
        <w:tc>
          <w:tcPr>
            <w:tcW w:type="dxa" w:w="7060"/>
            <w:shd w:fill="0A1628" w:color="auto" w:val="clear"/>
            <w:tcMar>
              <w:top w:type="dxa" w:w="90"/>
              <w:left w:type="dxa" w:w="130"/>
              <w:bottom w:type="dxa" w:w="90"/>
              <w:right w:type="dxa" w:w="130"/>
            </w:tcMar>
          </w:tcPr>
          <w:p>
            <w:pPr>
              <w:spacing w:after="0" w:line="260"/>
            </w:pPr>
            <w:r>
              <w:rPr>
                <w:rFonts w:ascii="Calibri" w:cs="Calibri" w:eastAsia="Calibri" w:hAnsi="Calibri"/>
                <w:b/>
                <w:bCs/>
                <w:color w:val="FFFFFF"/>
                <w:sz w:val="18"/>
                <w:szCs w:val="18"/>
              </w:rPr>
              <w:t xml:space="preserve">Meaning in this policy</w:t>
            </w:r>
          </w:p>
        </w:tc>
      </w:tr>
      <w:tr>
        <w:tc>
          <w:tcPr>
            <w:tcW w:type="dxa" w:w="23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AI tool</w:t>
            </w:r>
          </w:p>
        </w:tc>
        <w:tc>
          <w:tcPr>
            <w:tcW w:type="dxa" w:w="70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Any software that generates text, code, images, audio, video, or analysis in response to a prompt, including assistants embedded in other applications.</w:t>
            </w:r>
          </w:p>
        </w:tc>
      </w:tr>
      <w:tr>
        <w:tc>
          <w:tcPr>
            <w:tcW w:type="dxa" w:w="23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Prompt</w:t>
            </w:r>
          </w:p>
        </w:tc>
        <w:tc>
          <w:tcPr>
            <w:tcW w:type="dxa" w:w="706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Anything you type, paste, upload, or otherwise submit to an AI tool.</w:t>
            </w:r>
          </w:p>
        </w:tc>
      </w:tr>
      <w:tr>
        <w:tc>
          <w:tcPr>
            <w:tcW w:type="dxa" w:w="23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Output</w:t>
            </w:r>
          </w:p>
        </w:tc>
        <w:tc>
          <w:tcPr>
            <w:tcW w:type="dxa" w:w="70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Anything an AI tool returns to you.</w:t>
            </w:r>
          </w:p>
        </w:tc>
      </w:tr>
      <w:tr>
        <w:tc>
          <w:tcPr>
            <w:tcW w:type="dxa" w:w="23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Approved tool</w:t>
            </w:r>
          </w:p>
        </w:tc>
        <w:tc>
          <w:tcPr>
            <w:tcW w:type="dxa" w:w="706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An AI tool listed in the Approved AI Tool Register, used within the conditions recorded there.</w:t>
            </w:r>
          </w:p>
        </w:tc>
      </w:tr>
      <w:tr>
        <w:tc>
          <w:tcPr>
            <w:tcW w:type="dxa" w:w="23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Shadow AI</w:t>
            </w:r>
          </w:p>
        </w:tc>
        <w:tc>
          <w:tcPr>
            <w:tcW w:type="dxa" w:w="70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Any AI tool in use that has not been reviewed and recorded in the Register.</w:t>
            </w:r>
          </w:p>
        </w:tc>
      </w:tr>
      <w:tr>
        <w:tc>
          <w:tcPr>
            <w:tcW w:type="dxa" w:w="23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Company data</w:t>
            </w:r>
          </w:p>
        </w:tc>
        <w:tc>
          <w:tcPr>
            <w:tcW w:type="dxa" w:w="706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Any information belonging to [Organization], its employees, its clients, or its partners, in any form.</w:t>
            </w:r>
          </w:p>
        </w:tc>
      </w:tr>
      <w:tr>
        <w:tc>
          <w:tcPr>
            <w:tcW w:type="dxa" w:w="23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Restricted data</w:t>
            </w:r>
          </w:p>
        </w:tc>
        <w:tc>
          <w:tcPr>
            <w:tcW w:type="dxa" w:w="70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[Define per your classification scheme — typically regulated, personal, or contractually protected information.]</w:t>
            </w:r>
          </w:p>
        </w:tc>
      </w:tr>
      <w:tr>
        <w:tc>
          <w:tcPr>
            <w:tcW w:type="dxa" w:w="23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Human review</w:t>
            </w:r>
          </w:p>
        </w:tc>
        <w:tc>
          <w:tcPr>
            <w:tcW w:type="dxa" w:w="706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 qualified person reading, verifying, and taking responsibility for AI output before it is used or shared.</w:t>
            </w:r>
          </w:p>
        </w:tc>
      </w:tr>
    </w:tbl>
    <w:tbl>
      <w:tblPr>
        <w:tblW w:type="dxa" w:w="9360"/>
        <w:tblBorders>
          <w:top w:val="single" w:color="D4DCE4" w:sz="2"/>
          <w:left w:val="single" w:color="C25F08" w:sz="18"/>
          <w:bottom w:val="single" w:color="D4DCE4" w:sz="2"/>
          <w:right w:val="single" w:color="D4DCE4" w:sz="2"/>
          <w:insideH w:val="none"/>
          <w:insideV w:val="none"/>
        </w:tblBorders>
      </w:tblPr>
      <w:tblGrid>
        <w:gridCol w:w="9360"/>
      </w:tblGrid>
      <w:tr>
        <w:tc>
          <w:tcPr>
            <w:tcW w:type="dxa" w:w="9360"/>
            <w:shd w:fill="F4F7FA" w:color="auto" w:val="clear"/>
            <w:tcMar>
              <w:top w:type="dxa" w:w="140"/>
              <w:left w:type="dxa" w:w="180"/>
              <w:bottom w:type="dxa" w:w="140"/>
              <w:right w:type="dxa" w:w="180"/>
            </w:tcMar>
          </w:tcPr>
          <w:p>
            <w:pPr>
              <w:spacing w:after="60"/>
            </w:pPr>
            <w:r>
              <w:rPr>
                <w:rFonts w:ascii="Calibri" w:cs="Calibri" w:eastAsia="Calibri" w:hAnsi="Calibri"/>
                <w:b/>
                <w:bCs/>
                <w:color w:val="C25F08"/>
                <w:sz w:val="17"/>
                <w:szCs w:val="17"/>
              </w:rPr>
              <w:t xml:space="preserve">DRAFTING NOTE — Align to your existing classification scheme</w:t>
            </w:r>
          </w:p>
          <w:p>
            <w:pPr>
              <w:spacing w:after="0" w:line="260"/>
            </w:pPr>
            <w:r>
              <w:rPr>
                <w:rFonts w:ascii="Calibri" w:cs="Calibri" w:eastAsia="Calibri" w:hAnsi="Calibri"/>
                <w:i/>
                <w:iCs/>
                <w:color w:val="6B8BA4"/>
                <w:sz w:val="18"/>
                <w:szCs w:val="18"/>
              </w:rPr>
              <w:t xml:space="preserve">Do not invent new data categories here. Map to whatever your organization already uses — Public / Internal / Confidential / Restricted, or equivalent. A policy that introduces its own vocabulary will be ignored in favour of the one people already know.</w:t>
            </w:r>
          </w:p>
        </w:tc>
      </w:tr>
    </w:tbl>
    <w:p>
      <w:pPr>
        <w:pStyle w:val="Heading1"/>
        <w:spacing w:after="160" w:before="340"/>
      </w:pPr>
      <w:r>
        <w:rPr>
          <w:rFonts w:ascii="Calibri" w:cs="Calibri" w:eastAsia="Calibri" w:hAnsi="Calibri"/>
          <w:b/>
          <w:bCs/>
          <w:color w:val="0A1628"/>
          <w:sz w:val="28"/>
          <w:szCs w:val="28"/>
        </w:rPr>
        <w:t xml:space="preserve">3. Roles and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00"/>
        <w:gridCol w:w="7060"/>
      </w:tblGrid>
      <w:tr>
        <w:trPr>
          <w:tblHeader/>
        </w:trPr>
        <w:tc>
          <w:tcPr>
            <w:tcW w:type="dxa" w:w="2300"/>
            <w:shd w:fill="0A1628" w:color="auto" w:val="clear"/>
            <w:tcMar>
              <w:top w:type="dxa" w:w="90"/>
              <w:left w:type="dxa" w:w="130"/>
              <w:bottom w:type="dxa" w:w="90"/>
              <w:right w:type="dxa" w:w="130"/>
            </w:tcMar>
          </w:tcPr>
          <w:p>
            <w:pPr>
              <w:spacing w:after="0" w:line="260"/>
            </w:pPr>
            <w:r>
              <w:rPr>
                <w:rFonts w:ascii="Calibri" w:cs="Calibri" w:eastAsia="Calibri" w:hAnsi="Calibri"/>
                <w:b/>
                <w:bCs/>
                <w:color w:val="FFFFFF"/>
                <w:sz w:val="18"/>
                <w:szCs w:val="18"/>
              </w:rPr>
              <w:t xml:space="preserve">Role</w:t>
            </w:r>
          </w:p>
        </w:tc>
        <w:tc>
          <w:tcPr>
            <w:tcW w:type="dxa" w:w="7060"/>
            <w:shd w:fill="0A1628" w:color="auto" w:val="clear"/>
            <w:tcMar>
              <w:top w:type="dxa" w:w="90"/>
              <w:left w:type="dxa" w:w="130"/>
              <w:bottom w:type="dxa" w:w="90"/>
              <w:right w:type="dxa" w:w="130"/>
            </w:tcMar>
          </w:tcPr>
          <w:p>
            <w:pPr>
              <w:spacing w:after="0" w:line="260"/>
            </w:pPr>
            <w:r>
              <w:rPr>
                <w:rFonts w:ascii="Calibri" w:cs="Calibri" w:eastAsia="Calibri" w:hAnsi="Calibri"/>
                <w:b/>
                <w:bCs/>
                <w:color w:val="FFFFFF"/>
                <w:sz w:val="18"/>
                <w:szCs w:val="18"/>
              </w:rPr>
              <w:t xml:space="preserve">Responsibility</w:t>
            </w:r>
          </w:p>
        </w:tc>
      </w:tr>
      <w:tr>
        <w:tc>
          <w:tcPr>
            <w:tcW w:type="dxa" w:w="23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[Policy Owner]</w:t>
            </w:r>
          </w:p>
        </w:tc>
        <w:tc>
          <w:tcPr>
            <w:tcW w:type="dxa" w:w="70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Owns this policy, maintains the Approved AI Tool Register, and coordinates the review cycle.</w:t>
            </w:r>
          </w:p>
        </w:tc>
      </w:tr>
      <w:tr>
        <w:tc>
          <w:tcPr>
            <w:tcW w:type="dxa" w:w="23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[IT / ITAM]</w:t>
            </w:r>
          </w:p>
        </w:tc>
        <w:tc>
          <w:tcPr>
            <w:tcW w:type="dxa" w:w="706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Evaluates requested tools, records approvals and conditions, runs discovery for unapproved tools, and manages licences.</w:t>
            </w:r>
          </w:p>
        </w:tc>
      </w:tr>
      <w:tr>
        <w:tc>
          <w:tcPr>
            <w:tcW w:type="dxa" w:w="23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[Security]</w:t>
            </w:r>
          </w:p>
        </w:tc>
        <w:tc>
          <w:tcPr>
            <w:tcW w:type="dxa" w:w="70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Assesses data exposure, reviews vendor security posture, and leads incident response.</w:t>
            </w:r>
          </w:p>
        </w:tc>
      </w:tr>
      <w:tr>
        <w:tc>
          <w:tcPr>
            <w:tcW w:type="dxa" w:w="23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[Legal / Privacy]</w:t>
            </w:r>
          </w:p>
        </w:tc>
        <w:tc>
          <w:tcPr>
            <w:tcW w:type="dxa" w:w="706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Reviews vendor terms, data processing agreements, intellectual property implications, and regulatory obligations.</w:t>
            </w:r>
          </w:p>
        </w:tc>
      </w:tr>
      <w:tr>
        <w:tc>
          <w:tcPr>
            <w:tcW w:type="dxa" w:w="23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[Department Heads]</w:t>
            </w:r>
          </w:p>
        </w:tc>
        <w:tc>
          <w:tcPr>
            <w:tcW w:type="dxa" w:w="70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Approve use cases within their function and confirm their teams are trained.</w:t>
            </w:r>
          </w:p>
        </w:tc>
      </w:tr>
      <w:tr>
        <w:tc>
          <w:tcPr>
            <w:tcW w:type="dxa" w:w="23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All users</w:t>
            </w:r>
          </w:p>
        </w:tc>
        <w:tc>
          <w:tcPr>
            <w:tcW w:type="dxa" w:w="706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Use only approved tools within stated conditions, apply human review, and report incidents promptly.</w:t>
            </w:r>
          </w:p>
        </w:tc>
      </w:tr>
    </w:tbl>
    <w:p>
      <w:pPr>
        <w:pStyle w:val="Heading1"/>
        <w:spacing w:after="160" w:before="340"/>
      </w:pPr>
      <w:r>
        <w:rPr>
          <w:rFonts w:ascii="Calibri" w:cs="Calibri" w:eastAsia="Calibri" w:hAnsi="Calibri"/>
          <w:b/>
          <w:bCs/>
          <w:color w:val="0A1628"/>
          <w:sz w:val="28"/>
          <w:szCs w:val="28"/>
        </w:rPr>
        <w:t xml:space="preserve">4. Approved AI Tools</w:t>
      </w:r>
    </w:p>
    <w:p>
      <w:pPr>
        <w:pStyle w:val="Heading2"/>
        <w:spacing w:after="110" w:before="240"/>
      </w:pPr>
      <w:r>
        <w:rPr>
          <w:rFonts w:ascii="Calibri" w:cs="Calibri" w:eastAsia="Calibri" w:hAnsi="Calibri"/>
          <w:b/>
          <w:bCs/>
          <w:color w:val="1E7E99"/>
          <w:sz w:val="23"/>
          <w:szCs w:val="23"/>
        </w:rPr>
        <w:t xml:space="preserve">4.1 The Register</w:t>
      </w:r>
    </w:p>
    <w:p>
      <w:pPr>
        <w:spacing w:after="140" w:line="276"/>
      </w:pPr>
      <w:r>
        <w:rPr>
          <w:rFonts w:ascii="Calibri" w:cs="Calibri" w:eastAsia="Calibri" w:hAnsi="Calibri"/>
          <w:color w:val="33475B"/>
          <w:sz w:val="21"/>
          <w:szCs w:val="21"/>
        </w:rPr>
        <w:t xml:space="preserve">The Approved AI Tool Register is the authoritative list of tools permitted at [Organization]. It records, for each tool: the business owner, the plan type, the highest data classification permitted, prohibited data, whether the vendor has confirmed your data will not be used to train its models, and the approved use cases.</w:t>
      </w:r>
    </w:p>
    <w:p>
      <w:pPr>
        <w:spacing w:after="140" w:line="276"/>
      </w:pPr>
      <w:r>
        <w:rPr>
          <w:rFonts w:ascii="Calibri" w:cs="Calibri" w:eastAsia="Calibri" w:hAnsi="Calibri"/>
          <w:b/>
          <w:bCs/>
          <w:color w:val="0A1628"/>
          <w:sz w:val="21"/>
          <w:szCs w:val="21"/>
        </w:rPr>
        <w:t xml:space="preserve">If a tool is not in the Register, it is not approved — regardless of how widely used or apparently harmless it is.</w:t>
      </w:r>
    </w:p>
    <w:p>
      <w:pPr>
        <w:spacing w:after="140" w:line="276"/>
      </w:pPr>
      <w:r>
        <w:rPr>
          <w:rFonts w:ascii="Calibri" w:cs="Calibri" w:eastAsia="Calibri" w:hAnsi="Calibri"/>
          <w:color w:val="33475B"/>
          <w:sz w:val="21"/>
          <w:szCs w:val="21"/>
        </w:rPr>
        <w:t xml:space="preserve">The Register is maintained at [location] and reviewed [cadence].</w:t>
      </w:r>
    </w:p>
    <w:p>
      <w:pPr>
        <w:pStyle w:val="Heading2"/>
        <w:spacing w:after="110" w:before="240"/>
      </w:pPr>
      <w:r>
        <w:rPr>
          <w:rFonts w:ascii="Calibri" w:cs="Calibri" w:eastAsia="Calibri" w:hAnsi="Calibri"/>
          <w:b/>
          <w:bCs/>
          <w:color w:val="1E7E99"/>
          <w:sz w:val="23"/>
          <w:szCs w:val="23"/>
        </w:rPr>
        <w:t xml:space="preserve">4.2 Requesting a new tool</w:t>
      </w:r>
    </w:p>
    <w:p>
      <w:pPr>
        <w:spacing w:after="140" w:line="276"/>
      </w:pPr>
      <w:r>
        <w:rPr>
          <w:rFonts w:ascii="Calibri" w:cs="Calibri" w:eastAsia="Calibri" w:hAnsi="Calibri"/>
          <w:color w:val="33475B"/>
          <w:sz w:val="21"/>
          <w:szCs w:val="21"/>
        </w:rPr>
        <w:t xml:space="preserve">To request approval for a tool not currently in the Register:</w:t>
      </w:r>
    </w:p>
    <w:p>
      <w:pPr>
        <w:pStyle w:val="ListParagraph"/>
        <w:numPr>
          <w:ilvl w:val="0"/>
          <w:numId w:val="2"/>
        </w:numPr>
        <w:spacing w:after="80" w:line="276"/>
      </w:pPr>
      <w:r>
        <w:rPr>
          <w:rFonts w:ascii="Calibri" w:cs="Calibri" w:eastAsia="Calibri" w:hAnsi="Calibri"/>
          <w:color w:val="33475B"/>
          <w:sz w:val="21"/>
          <w:szCs w:val="21"/>
        </w:rPr>
        <w:t xml:space="preserve">Submit a request to [IT / ITAM] via [process or system]</w:t>
      </w:r>
    </w:p>
    <w:p>
      <w:pPr>
        <w:pStyle w:val="ListParagraph"/>
        <w:numPr>
          <w:ilvl w:val="0"/>
          <w:numId w:val="2"/>
        </w:numPr>
        <w:spacing w:after="80" w:line="276"/>
      </w:pPr>
      <w:r>
        <w:rPr>
          <w:rFonts w:ascii="Calibri" w:cs="Calibri" w:eastAsia="Calibri" w:hAnsi="Calibri"/>
          <w:color w:val="33475B"/>
          <w:sz w:val="21"/>
          <w:szCs w:val="21"/>
        </w:rPr>
        <w:t xml:space="preserve">Describe the specific use case, not the tool's general capability</w:t>
      </w:r>
    </w:p>
    <w:p>
      <w:pPr>
        <w:pStyle w:val="ListParagraph"/>
        <w:numPr>
          <w:ilvl w:val="0"/>
          <w:numId w:val="2"/>
        </w:numPr>
        <w:spacing w:after="80" w:line="276"/>
      </w:pPr>
      <w:r>
        <w:rPr>
          <w:rFonts w:ascii="Calibri" w:cs="Calibri" w:eastAsia="Calibri" w:hAnsi="Calibri"/>
          <w:color w:val="33475B"/>
          <w:sz w:val="21"/>
          <w:szCs w:val="21"/>
        </w:rPr>
        <w:t xml:space="preserve">State the highest classification of data you expect to enter</w:t>
      </w:r>
    </w:p>
    <w:p>
      <w:pPr>
        <w:pStyle w:val="ListParagraph"/>
        <w:numPr>
          <w:ilvl w:val="0"/>
          <w:numId w:val="2"/>
        </w:numPr>
        <w:spacing w:after="80" w:line="276"/>
      </w:pPr>
      <w:r>
        <w:rPr>
          <w:rFonts w:ascii="Calibri" w:cs="Calibri" w:eastAsia="Calibri" w:hAnsi="Calibri"/>
          <w:color w:val="33475B"/>
          <w:sz w:val="21"/>
          <w:szCs w:val="21"/>
        </w:rPr>
        <w:t xml:space="preserve">Identify who would own the tool and who would use it</w:t>
      </w:r>
    </w:p>
    <w:p>
      <w:pPr>
        <w:spacing w:after="140" w:line="276"/>
      </w:pPr>
      <w:r>
        <w:rPr>
          <w:rFonts w:ascii="Calibri" w:cs="Calibri" w:eastAsia="Calibri" w:hAnsi="Calibri"/>
          <w:color w:val="33475B"/>
          <w:sz w:val="21"/>
          <w:szCs w:val="21"/>
        </w:rPr>
        <w:t xml:space="preserve">[IT / ITAM], [Security], and [Legal] will review and respond within [N] business days with an approval, a conditional approval, or a decline with reasons.</w:t>
      </w:r>
    </w:p>
    <w:tbl>
      <w:tblPr>
        <w:tblW w:type="dxa" w:w="9360"/>
        <w:tblBorders>
          <w:top w:val="single" w:color="D4DCE4" w:sz="2"/>
          <w:left w:val="single" w:color="C25F08" w:sz="18"/>
          <w:bottom w:val="single" w:color="D4DCE4" w:sz="2"/>
          <w:right w:val="single" w:color="D4DCE4" w:sz="2"/>
          <w:insideH w:val="none"/>
          <w:insideV w:val="none"/>
        </w:tblBorders>
      </w:tblPr>
      <w:tblGrid>
        <w:gridCol w:w="9360"/>
      </w:tblGrid>
      <w:tr>
        <w:tc>
          <w:tcPr>
            <w:tcW w:type="dxa" w:w="9360"/>
            <w:shd w:fill="F4F7FA" w:color="auto" w:val="clear"/>
            <w:tcMar>
              <w:top w:type="dxa" w:w="140"/>
              <w:left w:type="dxa" w:w="180"/>
              <w:bottom w:type="dxa" w:w="140"/>
              <w:right w:type="dxa" w:w="180"/>
            </w:tcMar>
          </w:tcPr>
          <w:p>
            <w:pPr>
              <w:spacing w:after="60"/>
            </w:pPr>
            <w:r>
              <w:rPr>
                <w:rFonts w:ascii="Calibri" w:cs="Calibri" w:eastAsia="Calibri" w:hAnsi="Calibri"/>
                <w:b/>
                <w:bCs/>
                <w:color w:val="C25F08"/>
                <w:sz w:val="17"/>
                <w:szCs w:val="17"/>
              </w:rPr>
              <w:t xml:space="preserve">DRAFTING NOTE — Make this fast, or it will be bypassed</w:t>
            </w:r>
          </w:p>
          <w:p>
            <w:pPr>
              <w:spacing w:after="0" w:line="260"/>
            </w:pPr>
            <w:r>
              <w:rPr>
                <w:rFonts w:ascii="Calibri" w:cs="Calibri" w:eastAsia="Calibri" w:hAnsi="Calibri"/>
                <w:i/>
                <w:iCs/>
                <w:color w:val="6B8BA4"/>
                <w:sz w:val="18"/>
                <w:szCs w:val="18"/>
              </w:rPr>
              <w:t xml:space="preserve">The single most reliable predictor of shadow AI is a slow approval process. If review takes six weeks, people will use the browser tab and tell nobody. A target of five business days with a named owner is a governance control, not an administrative nicety.</w:t>
            </w:r>
          </w:p>
        </w:tc>
      </w:tr>
    </w:tbl>
    <w:p>
      <w:pPr>
        <w:pStyle w:val="Heading2"/>
        <w:spacing w:after="110" w:before="240"/>
      </w:pPr>
      <w:r>
        <w:rPr>
          <w:rFonts w:ascii="Calibri" w:cs="Calibri" w:eastAsia="Calibri" w:hAnsi="Calibri"/>
          <w:b/>
          <w:bCs/>
          <w:color w:val="1E7E99"/>
          <w:sz w:val="23"/>
          <w:szCs w:val="23"/>
        </w:rPr>
        <w:t xml:space="preserve">4.3 Personal accounts</w:t>
      </w:r>
    </w:p>
    <w:p>
      <w:pPr>
        <w:spacing w:after="140" w:line="276"/>
      </w:pPr>
      <w:r>
        <w:rPr>
          <w:rFonts w:ascii="Calibri" w:cs="Calibri" w:eastAsia="Calibri" w:hAnsi="Calibri"/>
          <w:color w:val="33475B"/>
          <w:sz w:val="21"/>
          <w:szCs w:val="21"/>
        </w:rPr>
        <w:t xml:space="preserve">[Organization] [permits / does not permit] the use of personal AI accounts for work purposes. [If permitted, state the conditions — typically that no data above a stated classification may be entered, and that the tool must still appear in the Register.]</w:t>
      </w:r>
    </w:p>
    <w:p>
      <w:pPr>
        <w:pStyle w:val="Heading1"/>
        <w:spacing w:after="160" w:before="340"/>
      </w:pPr>
      <w:r>
        <w:rPr>
          <w:rFonts w:ascii="Calibri" w:cs="Calibri" w:eastAsia="Calibri" w:hAnsi="Calibri"/>
          <w:b/>
          <w:bCs/>
          <w:color w:val="0A1628"/>
          <w:sz w:val="28"/>
          <w:szCs w:val="28"/>
        </w:rPr>
        <w:t xml:space="preserve">5. What You May and May Not Enter</w:t>
      </w:r>
    </w:p>
    <w:p>
      <w:pPr>
        <w:spacing w:after="140" w:line="276"/>
      </w:pPr>
      <w:r>
        <w:rPr>
          <w:rFonts w:ascii="Calibri" w:cs="Calibri" w:eastAsia="Calibri" w:hAnsi="Calibri"/>
          <w:color w:val="33475B"/>
          <w:sz w:val="21"/>
          <w:szCs w:val="21"/>
        </w:rPr>
        <w:t xml:space="preserve">The following rules apply to everything you type, paste, or upload into an AI tool, including files and screenshots.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2200"/>
        <w:gridCol w:w="5260"/>
      </w:tblGrid>
      <w:tr>
        <w:trPr>
          <w:tblHeader/>
        </w:trPr>
        <w:tc>
          <w:tcPr>
            <w:tcW w:type="dxa" w:w="1900"/>
            <w:shd w:fill="0A1628" w:color="auto" w:val="clear"/>
            <w:tcMar>
              <w:top w:type="dxa" w:w="90"/>
              <w:left w:type="dxa" w:w="130"/>
              <w:bottom w:type="dxa" w:w="90"/>
              <w:right w:type="dxa" w:w="130"/>
            </w:tcMar>
          </w:tcPr>
          <w:p>
            <w:pPr>
              <w:spacing w:after="0" w:line="260"/>
            </w:pPr>
            <w:r>
              <w:rPr>
                <w:rFonts w:ascii="Calibri" w:cs="Calibri" w:eastAsia="Calibri" w:hAnsi="Calibri"/>
                <w:b/>
                <w:bCs/>
                <w:color w:val="FFFFFF"/>
                <w:sz w:val="18"/>
                <w:szCs w:val="18"/>
              </w:rPr>
              <w:t xml:space="preserve">Classification</w:t>
            </w:r>
          </w:p>
        </w:tc>
        <w:tc>
          <w:tcPr>
            <w:tcW w:type="dxa" w:w="2200"/>
            <w:shd w:fill="0A1628" w:color="auto" w:val="clear"/>
            <w:tcMar>
              <w:top w:type="dxa" w:w="90"/>
              <w:left w:type="dxa" w:w="130"/>
              <w:bottom w:type="dxa" w:w="90"/>
              <w:right w:type="dxa" w:w="130"/>
            </w:tcMar>
          </w:tcPr>
          <w:p>
            <w:pPr>
              <w:spacing w:after="0" w:line="260"/>
            </w:pPr>
            <w:r>
              <w:rPr>
                <w:rFonts w:ascii="Calibri" w:cs="Calibri" w:eastAsia="Calibri" w:hAnsi="Calibri"/>
                <w:b/>
                <w:bCs/>
                <w:color w:val="FFFFFF"/>
                <w:sz w:val="18"/>
                <w:szCs w:val="18"/>
              </w:rPr>
              <w:t xml:space="preserve">Permitted?</w:t>
            </w:r>
          </w:p>
        </w:tc>
        <w:tc>
          <w:tcPr>
            <w:tcW w:type="dxa" w:w="5260"/>
            <w:shd w:fill="0A1628" w:color="auto" w:val="clear"/>
            <w:tcMar>
              <w:top w:type="dxa" w:w="90"/>
              <w:left w:type="dxa" w:w="130"/>
              <w:bottom w:type="dxa" w:w="90"/>
              <w:right w:type="dxa" w:w="130"/>
            </w:tcMar>
          </w:tcPr>
          <w:p>
            <w:pPr>
              <w:spacing w:after="0" w:line="260"/>
            </w:pPr>
            <w:r>
              <w:rPr>
                <w:rFonts w:ascii="Calibri" w:cs="Calibri" w:eastAsia="Calibri" w:hAnsi="Calibri"/>
                <w:b/>
                <w:bCs/>
                <w:color w:val="FFFFFF"/>
                <w:sz w:val="18"/>
                <w:szCs w:val="18"/>
              </w:rPr>
              <w:t xml:space="preserve">Conditions</w:t>
            </w:r>
          </w:p>
        </w:tc>
      </w:tr>
      <w:tr>
        <w:tc>
          <w:tcPr>
            <w:tcW w:type="dxa" w:w="19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Public</w:t>
            </w:r>
          </w:p>
        </w:tc>
        <w:tc>
          <w:tcPr>
            <w:tcW w:type="dxa" w:w="22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Yes</w:t>
            </w:r>
          </w:p>
        </w:tc>
        <w:tc>
          <w:tcPr>
            <w:tcW w:type="dxa" w:w="52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No restriction.</w:t>
            </w:r>
          </w:p>
        </w:tc>
      </w:tr>
      <w:tr>
        <w:tc>
          <w:tcPr>
            <w:tcW w:type="dxa" w:w="19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Internal</w:t>
            </w:r>
          </w:p>
        </w:tc>
        <w:tc>
          <w:tcPr>
            <w:tcW w:type="dxa" w:w="22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[Yes, approved tools only]</w:t>
            </w:r>
          </w:p>
        </w:tc>
        <w:tc>
          <w:tcPr>
            <w:tcW w:type="dxa" w:w="526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[Approved tools with confirmed training opt-out only.]</w:t>
            </w:r>
          </w:p>
        </w:tc>
      </w:tr>
      <w:tr>
        <w:tc>
          <w:tcPr>
            <w:tcW w:type="dxa" w:w="19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Confidential</w:t>
            </w:r>
          </w:p>
        </w:tc>
        <w:tc>
          <w:tcPr>
            <w:tcW w:type="dxa" w:w="22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[Conditional]</w:t>
            </w:r>
          </w:p>
        </w:tc>
        <w:tc>
          <w:tcPr>
            <w:tcW w:type="dxa" w:w="52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[Only in tools with a signed DPA, tenant isolation, and confirmed training opt-out. Business owner approval required.]</w:t>
            </w:r>
          </w:p>
        </w:tc>
      </w:tr>
      <w:tr>
        <w:tc>
          <w:tcPr>
            <w:tcW w:type="dxa" w:w="19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Restricted</w:t>
            </w:r>
          </w:p>
        </w:tc>
        <w:tc>
          <w:tcPr>
            <w:tcW w:type="dxa" w:w="22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[No]</w:t>
            </w:r>
          </w:p>
        </w:tc>
        <w:tc>
          <w:tcPr>
            <w:tcW w:type="dxa" w:w="526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[Prohibited in all AI tools unless specifically authorised in writing by [Security] and [Legal].]</w:t>
            </w:r>
          </w:p>
        </w:tc>
      </w:tr>
    </w:tbl>
    <w:p>
      <w:pPr>
        <w:pStyle w:val="Heading2"/>
        <w:spacing w:after="110" w:before="240"/>
      </w:pPr>
      <w:r>
        <w:rPr>
          <w:rFonts w:ascii="Calibri" w:cs="Calibri" w:eastAsia="Calibri" w:hAnsi="Calibri"/>
          <w:b/>
          <w:bCs/>
          <w:color w:val="1E7E99"/>
          <w:sz w:val="23"/>
          <w:szCs w:val="23"/>
        </w:rPr>
        <w:t xml:space="preserve">5.1 Never enter the following into any AI tool</w:t>
      </w:r>
    </w:p>
    <w:p>
      <w:pPr>
        <w:pStyle w:val="ListParagraph"/>
        <w:numPr>
          <w:ilvl w:val="0"/>
          <w:numId w:val="2"/>
        </w:numPr>
        <w:spacing w:after="80" w:line="276"/>
      </w:pPr>
      <w:r>
        <w:rPr>
          <w:rFonts w:ascii="Calibri" w:cs="Calibri" w:eastAsia="Calibri" w:hAnsi="Calibri"/>
          <w:color w:val="33475B"/>
          <w:sz w:val="21"/>
          <w:szCs w:val="21"/>
        </w:rPr>
        <w:t xml:space="preserve">Credentials of any kind — passwords, API keys, tokens, certificates</w:t>
      </w:r>
    </w:p>
    <w:p>
      <w:pPr>
        <w:pStyle w:val="ListParagraph"/>
        <w:numPr>
          <w:ilvl w:val="0"/>
          <w:numId w:val="2"/>
        </w:numPr>
        <w:spacing w:after="80" w:line="276"/>
      </w:pPr>
      <w:r>
        <w:rPr>
          <w:rFonts w:ascii="Calibri" w:cs="Calibri" w:eastAsia="Calibri" w:hAnsi="Calibri"/>
          <w:color w:val="33475B"/>
          <w:sz w:val="21"/>
          <w:szCs w:val="21"/>
        </w:rPr>
        <w:t xml:space="preserve">Personal data about identifiable individuals, unless explicitly authorised</w:t>
      </w:r>
    </w:p>
    <w:p>
      <w:pPr>
        <w:pStyle w:val="ListParagraph"/>
        <w:numPr>
          <w:ilvl w:val="0"/>
          <w:numId w:val="2"/>
        </w:numPr>
        <w:spacing w:after="80" w:line="276"/>
      </w:pPr>
      <w:r>
        <w:rPr>
          <w:rFonts w:ascii="Calibri" w:cs="Calibri" w:eastAsia="Calibri" w:hAnsi="Calibri"/>
          <w:color w:val="33475B"/>
          <w:sz w:val="21"/>
          <w:szCs w:val="21"/>
        </w:rPr>
        <w:t xml:space="preserve">Regulated data — [health, financial, payment card, or other regulated categories applicable to you]</w:t>
      </w:r>
    </w:p>
    <w:p>
      <w:pPr>
        <w:pStyle w:val="ListParagraph"/>
        <w:numPr>
          <w:ilvl w:val="0"/>
          <w:numId w:val="2"/>
        </w:numPr>
        <w:spacing w:after="80" w:line="276"/>
      </w:pPr>
      <w:r>
        <w:rPr>
          <w:rFonts w:ascii="Calibri" w:cs="Calibri" w:eastAsia="Calibri" w:hAnsi="Calibri"/>
          <w:color w:val="33475B"/>
          <w:sz w:val="21"/>
          <w:szCs w:val="21"/>
        </w:rPr>
        <w:t xml:space="preserve">Client or partner data covered by a confidentiality obligation, unless that client has approved the tool in writing</w:t>
      </w:r>
    </w:p>
    <w:p>
      <w:pPr>
        <w:pStyle w:val="ListParagraph"/>
        <w:numPr>
          <w:ilvl w:val="0"/>
          <w:numId w:val="2"/>
        </w:numPr>
        <w:spacing w:after="80" w:line="276"/>
      </w:pPr>
      <w:r>
        <w:rPr>
          <w:rFonts w:ascii="Calibri" w:cs="Calibri" w:eastAsia="Calibri" w:hAnsi="Calibri"/>
          <w:color w:val="33475B"/>
          <w:sz w:val="21"/>
          <w:szCs w:val="21"/>
        </w:rPr>
        <w:t xml:space="preserve">Unreleased financial results, deal terms, or other material non-public information</w:t>
      </w:r>
    </w:p>
    <w:p>
      <w:pPr>
        <w:pStyle w:val="ListParagraph"/>
        <w:numPr>
          <w:ilvl w:val="0"/>
          <w:numId w:val="2"/>
        </w:numPr>
        <w:spacing w:after="80" w:line="276"/>
      </w:pPr>
      <w:r>
        <w:rPr>
          <w:rFonts w:ascii="Calibri" w:cs="Calibri" w:eastAsia="Calibri" w:hAnsi="Calibri"/>
          <w:color w:val="33475B"/>
          <w:sz w:val="21"/>
          <w:szCs w:val="21"/>
        </w:rPr>
        <w:t xml:space="preserve">Source code from repositories marked [restricted classification]</w:t>
      </w:r>
    </w:p>
    <w:p>
      <w:pPr>
        <w:pStyle w:val="ListParagraph"/>
        <w:numPr>
          <w:ilvl w:val="0"/>
          <w:numId w:val="2"/>
        </w:numPr>
        <w:spacing w:after="80" w:line="276"/>
      </w:pPr>
      <w:r>
        <w:rPr>
          <w:rFonts w:ascii="Calibri" w:cs="Calibri" w:eastAsia="Calibri" w:hAnsi="Calibri"/>
          <w:color w:val="33475B"/>
          <w:sz w:val="21"/>
          <w:szCs w:val="21"/>
        </w:rPr>
        <w:t xml:space="preserve">Legal advice, privileged communications, or material relating to active litigation</w:t>
      </w:r>
    </w:p>
    <w:p>
      <w:pPr>
        <w:pStyle w:val="ListParagraph"/>
        <w:numPr>
          <w:ilvl w:val="0"/>
          <w:numId w:val="2"/>
        </w:numPr>
        <w:spacing w:after="80" w:line="276"/>
      </w:pPr>
      <w:r>
        <w:rPr>
          <w:rFonts w:ascii="Calibri" w:cs="Calibri" w:eastAsia="Calibri" w:hAnsi="Calibri"/>
          <w:color w:val="33475B"/>
          <w:sz w:val="21"/>
          <w:szCs w:val="21"/>
        </w:rPr>
        <w:t xml:space="preserve">Personnel matters — performance, compensation, disciplinary, or health information</w:t>
      </w:r>
    </w:p>
    <w:p>
      <w:pPr>
        <w:pStyle w:val="ListParagraph"/>
        <w:numPr>
          <w:ilvl w:val="0"/>
          <w:numId w:val="2"/>
        </w:numPr>
        <w:spacing w:after="80" w:line="276"/>
      </w:pPr>
      <w:r>
        <w:rPr>
          <w:rFonts w:ascii="Calibri" w:cs="Calibri" w:eastAsia="Calibri" w:hAnsi="Calibri"/>
          <w:color w:val="33475B"/>
          <w:sz w:val="21"/>
          <w:szCs w:val="21"/>
        </w:rPr>
        <w:t xml:space="preserve">Anything you would not be comfortable seeing outside the organization</w:t>
      </w:r>
    </w:p>
    <w:p>
      <w:pPr>
        <w:spacing w:after="140" w:line="276"/>
      </w:pPr>
      <w:r>
        <w:rPr>
          <w:rFonts w:ascii="Calibri" w:cs="Calibri" w:eastAsia="Calibri" w:hAnsi="Calibri"/>
          <w:b/>
          <w:bCs/>
          <w:color w:val="0A1628"/>
          <w:sz w:val="21"/>
          <w:szCs w:val="21"/>
        </w:rPr>
        <w:t xml:space="preserve">The last one is the test that catches what a list cannot. </w:t>
      </w:r>
      <w:r>
        <w:rPr>
          <w:rFonts w:ascii="Calibri" w:cs="Calibri" w:eastAsia="Calibri" w:hAnsi="Calibri"/>
          <w:color w:val="33475B"/>
          <w:sz w:val="21"/>
          <w:szCs w:val="21"/>
        </w:rPr>
        <w:t xml:space="preserve">If you find yourself weighing whether something is acceptable to paste, treat that hesitation as the answer and ask [Security].</w:t>
      </w:r>
    </w:p>
    <w:p>
      <w:pPr>
        <w:pStyle w:val="Heading1"/>
        <w:spacing w:after="160" w:before="340"/>
      </w:pPr>
      <w:r>
        <w:rPr>
          <w:rFonts w:ascii="Calibri" w:cs="Calibri" w:eastAsia="Calibri" w:hAnsi="Calibri"/>
          <w:b/>
          <w:bCs/>
          <w:color w:val="0A1628"/>
          <w:sz w:val="28"/>
          <w:szCs w:val="28"/>
        </w:rPr>
        <w:t xml:space="preserve">6. Prohibited Uses</w:t>
      </w:r>
    </w:p>
    <w:p>
      <w:pPr>
        <w:spacing w:after="140" w:line="276"/>
      </w:pPr>
      <w:r>
        <w:rPr>
          <w:rFonts w:ascii="Calibri" w:cs="Calibri" w:eastAsia="Calibri" w:hAnsi="Calibri"/>
          <w:color w:val="33475B"/>
          <w:sz w:val="21"/>
          <w:szCs w:val="21"/>
        </w:rPr>
        <w:t xml:space="preserve">Regardless of which tool is used or what data is involved, the following are prohibited:</w:t>
      </w:r>
    </w:p>
    <w:p>
      <w:pPr>
        <w:pStyle w:val="ListParagraph"/>
        <w:numPr>
          <w:ilvl w:val="0"/>
          <w:numId w:val="2"/>
        </w:numPr>
        <w:spacing w:after="80" w:line="276"/>
      </w:pPr>
      <w:r>
        <w:rPr>
          <w:rFonts w:ascii="Calibri" w:cs="Calibri" w:eastAsia="Calibri" w:hAnsi="Calibri"/>
          <w:color w:val="33475B"/>
          <w:sz w:val="21"/>
          <w:szCs w:val="21"/>
        </w:rPr>
        <w:t xml:space="preserve">Making a final decision about a person — hiring, promotion, discipline, termination, or performance rating — on the basis of AI output</w:t>
      </w:r>
    </w:p>
    <w:p>
      <w:pPr>
        <w:pStyle w:val="ListParagraph"/>
        <w:numPr>
          <w:ilvl w:val="0"/>
          <w:numId w:val="2"/>
        </w:numPr>
        <w:spacing w:after="80" w:line="276"/>
      </w:pPr>
      <w:r>
        <w:rPr>
          <w:rFonts w:ascii="Calibri" w:cs="Calibri" w:eastAsia="Calibri" w:hAnsi="Calibri"/>
          <w:color w:val="33475B"/>
          <w:sz w:val="21"/>
          <w:szCs w:val="21"/>
        </w:rPr>
        <w:t xml:space="preserve">Generating content that misrepresents its origin where disclosure is required by law, regulation, contract, or client expectation</w:t>
      </w:r>
    </w:p>
    <w:p>
      <w:pPr>
        <w:pStyle w:val="ListParagraph"/>
        <w:numPr>
          <w:ilvl w:val="0"/>
          <w:numId w:val="2"/>
        </w:numPr>
        <w:spacing w:after="80" w:line="276"/>
      </w:pPr>
      <w:r>
        <w:rPr>
          <w:rFonts w:ascii="Calibri" w:cs="Calibri" w:eastAsia="Calibri" w:hAnsi="Calibri"/>
          <w:color w:val="33475B"/>
          <w:sz w:val="21"/>
          <w:szCs w:val="21"/>
        </w:rPr>
        <w:t xml:space="preserve">Producing material that is discriminatory, harassing, defamatory, or otherwise contrary to [Organization]'s code of conduct</w:t>
      </w:r>
    </w:p>
    <w:p>
      <w:pPr>
        <w:pStyle w:val="ListParagraph"/>
        <w:numPr>
          <w:ilvl w:val="0"/>
          <w:numId w:val="2"/>
        </w:numPr>
        <w:spacing w:after="80" w:line="276"/>
      </w:pPr>
      <w:r>
        <w:rPr>
          <w:rFonts w:ascii="Calibri" w:cs="Calibri" w:eastAsia="Calibri" w:hAnsi="Calibri"/>
          <w:color w:val="33475B"/>
          <w:sz w:val="21"/>
          <w:szCs w:val="21"/>
        </w:rPr>
        <w:t xml:space="preserve">Attempting to bypass a tool's safety controls or usage restrictions</w:t>
      </w:r>
    </w:p>
    <w:p>
      <w:pPr>
        <w:pStyle w:val="ListParagraph"/>
        <w:numPr>
          <w:ilvl w:val="0"/>
          <w:numId w:val="2"/>
        </w:numPr>
        <w:spacing w:after="80" w:line="276"/>
      </w:pPr>
      <w:r>
        <w:rPr>
          <w:rFonts w:ascii="Calibri" w:cs="Calibri" w:eastAsia="Calibri" w:hAnsi="Calibri"/>
          <w:color w:val="33475B"/>
          <w:sz w:val="21"/>
          <w:szCs w:val="21"/>
        </w:rPr>
        <w:t xml:space="preserve">Using AI output that infringes a third party's intellectual property</w:t>
      </w:r>
    </w:p>
    <w:p>
      <w:pPr>
        <w:pStyle w:val="ListParagraph"/>
        <w:numPr>
          <w:ilvl w:val="0"/>
          <w:numId w:val="2"/>
        </w:numPr>
        <w:spacing w:after="80" w:line="276"/>
      </w:pPr>
      <w:r>
        <w:rPr>
          <w:rFonts w:ascii="Calibri" w:cs="Calibri" w:eastAsia="Calibri" w:hAnsi="Calibri"/>
          <w:color w:val="33475B"/>
          <w:sz w:val="21"/>
          <w:szCs w:val="21"/>
        </w:rPr>
        <w:t xml:space="preserve">Presenting AI-generated work as independently verified when it has not been reviewed</w:t>
      </w:r>
    </w:p>
    <w:p>
      <w:pPr>
        <w:pStyle w:val="ListParagraph"/>
        <w:numPr>
          <w:ilvl w:val="0"/>
          <w:numId w:val="2"/>
        </w:numPr>
        <w:spacing w:after="80" w:line="276"/>
      </w:pPr>
      <w:r>
        <w:rPr>
          <w:rFonts w:ascii="Calibri" w:cs="Calibri" w:eastAsia="Calibri" w:hAnsi="Calibri"/>
          <w:color w:val="33475B"/>
          <w:sz w:val="21"/>
          <w:szCs w:val="21"/>
        </w:rPr>
        <w:t xml:space="preserve">Using AI tools to process data belonging to a client who has prohibited it</w:t>
      </w:r>
    </w:p>
    <w:p>
      <w:pPr>
        <w:pStyle w:val="ListParagraph"/>
        <w:numPr>
          <w:ilvl w:val="0"/>
          <w:numId w:val="2"/>
        </w:numPr>
        <w:spacing w:after="80" w:line="276"/>
      </w:pPr>
      <w:r>
        <w:rPr>
          <w:rFonts w:ascii="Calibri" w:cs="Calibri" w:eastAsia="Calibri" w:hAnsi="Calibri"/>
          <w:color w:val="33475B"/>
          <w:sz w:val="21"/>
          <w:szCs w:val="21"/>
        </w:rPr>
        <w:t xml:space="preserve">[Add any industry-specific prohibition applicable to your regulator]</w:t>
      </w:r>
    </w:p>
    <w:tbl>
      <w:tblPr>
        <w:tblW w:type="dxa" w:w="9360"/>
        <w:tblBorders>
          <w:top w:val="single" w:color="D4DCE4" w:sz="2"/>
          <w:left w:val="single" w:color="C25F08" w:sz="18"/>
          <w:bottom w:val="single" w:color="D4DCE4" w:sz="2"/>
          <w:right w:val="single" w:color="D4DCE4" w:sz="2"/>
          <w:insideH w:val="none"/>
          <w:insideV w:val="none"/>
        </w:tblBorders>
      </w:tblPr>
      <w:tblGrid>
        <w:gridCol w:w="9360"/>
      </w:tblGrid>
      <w:tr>
        <w:tc>
          <w:tcPr>
            <w:tcW w:type="dxa" w:w="9360"/>
            <w:shd w:fill="F4F7FA" w:color="auto" w:val="clear"/>
            <w:tcMar>
              <w:top w:type="dxa" w:w="140"/>
              <w:left w:type="dxa" w:w="180"/>
              <w:bottom w:type="dxa" w:w="140"/>
              <w:right w:type="dxa" w:w="180"/>
            </w:tcMar>
          </w:tcPr>
          <w:p>
            <w:pPr>
              <w:spacing w:after="60"/>
            </w:pPr>
            <w:r>
              <w:rPr>
                <w:rFonts w:ascii="Calibri" w:cs="Calibri" w:eastAsia="Calibri" w:hAnsi="Calibri"/>
                <w:b/>
                <w:bCs/>
                <w:color w:val="C25F08"/>
                <w:sz w:val="17"/>
                <w:szCs w:val="17"/>
              </w:rPr>
              <w:t xml:space="preserve">DRAFTING NOTE — Check the first bullet against your jurisdiction</w:t>
            </w:r>
          </w:p>
          <w:p>
            <w:pPr>
              <w:spacing w:after="0" w:line="260"/>
            </w:pPr>
            <w:r>
              <w:rPr>
                <w:rFonts w:ascii="Calibri" w:cs="Calibri" w:eastAsia="Calibri" w:hAnsi="Calibri"/>
                <w:i/>
                <w:iCs/>
                <w:color w:val="6B8BA4"/>
                <w:sz w:val="18"/>
                <w:szCs w:val="18"/>
              </w:rPr>
              <w:t xml:space="preserve">Several jurisdictions now regulate automated decision-making in employment specifically, with notice and assessment obligations attached. If you operate in the EU, New York City, Colorado, Illinois, or California, have counsel confirm this clause is sufficient for your exposure.</w:t>
            </w:r>
          </w:p>
        </w:tc>
      </w:tr>
    </w:tbl>
    <w:p>
      <w:pPr>
        <w:pStyle w:val="Heading1"/>
        <w:spacing w:after="160" w:before="340"/>
      </w:pPr>
      <w:r>
        <w:rPr>
          <w:rFonts w:ascii="Calibri" w:cs="Calibri" w:eastAsia="Calibri" w:hAnsi="Calibri"/>
          <w:b/>
          <w:bCs/>
          <w:color w:val="0A1628"/>
          <w:sz w:val="28"/>
          <w:szCs w:val="28"/>
        </w:rPr>
        <w:t xml:space="preserve">7. Prompt Hygiene and Good Practice</w:t>
      </w:r>
    </w:p>
    <w:p>
      <w:pPr>
        <w:spacing w:after="140" w:line="276"/>
      </w:pPr>
      <w:r>
        <w:rPr>
          <w:rFonts w:ascii="Calibri" w:cs="Calibri" w:eastAsia="Calibri" w:hAnsi="Calibri"/>
          <w:color w:val="33475B"/>
          <w:sz w:val="21"/>
          <w:szCs w:val="21"/>
        </w:rPr>
        <w:t xml:space="preserve">These are not rules so much as the habits that separate useful AI output from confidently wrong output.</w:t>
      </w:r>
    </w:p>
    <w:p>
      <w:pPr>
        <w:pStyle w:val="Heading2"/>
        <w:spacing w:after="110" w:before="240"/>
      </w:pPr>
      <w:r>
        <w:rPr>
          <w:rFonts w:ascii="Calibri" w:cs="Calibri" w:eastAsia="Calibri" w:hAnsi="Calibri"/>
          <w:b/>
          <w:bCs/>
          <w:color w:val="1E7E99"/>
          <w:sz w:val="23"/>
          <w:szCs w:val="23"/>
        </w:rPr>
        <w:t xml:space="preserve">7.1 Before you prompt</w:t>
      </w:r>
    </w:p>
    <w:p>
      <w:pPr>
        <w:pStyle w:val="ListParagraph"/>
        <w:numPr>
          <w:ilvl w:val="0"/>
          <w:numId w:val="2"/>
        </w:numPr>
        <w:spacing w:after="80" w:line="276"/>
      </w:pPr>
      <w:r>
        <w:rPr>
          <w:rFonts w:ascii="Calibri" w:cs="Calibri" w:eastAsia="Calibri" w:hAnsi="Calibri"/>
          <w:color w:val="33475B"/>
          <w:sz w:val="21"/>
          <w:szCs w:val="21"/>
        </w:rPr>
        <w:t xml:space="preserve">Minimise what you include. Provide the least data that will produce a useful answer, not everything you have.</w:t>
      </w:r>
    </w:p>
    <w:p>
      <w:pPr>
        <w:pStyle w:val="ListParagraph"/>
        <w:numPr>
          <w:ilvl w:val="0"/>
          <w:numId w:val="2"/>
        </w:numPr>
        <w:spacing w:after="80" w:line="276"/>
      </w:pPr>
      <w:r>
        <w:rPr>
          <w:rFonts w:ascii="Calibri" w:cs="Calibri" w:eastAsia="Calibri" w:hAnsi="Calibri"/>
          <w:color w:val="33475B"/>
          <w:sz w:val="21"/>
          <w:szCs w:val="21"/>
        </w:rPr>
        <w:t xml:space="preserve">Redact identifiers. Names, account numbers, and client references can usually be replaced with placeholders without weakening the prompt.</w:t>
      </w:r>
    </w:p>
    <w:p>
      <w:pPr>
        <w:pStyle w:val="ListParagraph"/>
        <w:numPr>
          <w:ilvl w:val="0"/>
          <w:numId w:val="2"/>
        </w:numPr>
        <w:spacing w:after="80" w:line="276"/>
      </w:pPr>
      <w:r>
        <w:rPr>
          <w:rFonts w:ascii="Calibri" w:cs="Calibri" w:eastAsia="Calibri" w:hAnsi="Calibri"/>
          <w:color w:val="33475B"/>
          <w:sz w:val="21"/>
          <w:szCs w:val="21"/>
        </w:rPr>
        <w:t xml:space="preserve">Use the approved tool for the job, rather than the one already open.</w:t>
      </w:r>
    </w:p>
    <w:p>
      <w:pPr>
        <w:pStyle w:val="Heading2"/>
        <w:spacing w:after="110" w:before="240"/>
      </w:pPr>
      <w:r>
        <w:rPr>
          <w:rFonts w:ascii="Calibri" w:cs="Calibri" w:eastAsia="Calibri" w:hAnsi="Calibri"/>
          <w:b/>
          <w:bCs/>
          <w:color w:val="1E7E99"/>
          <w:sz w:val="23"/>
          <w:szCs w:val="23"/>
        </w:rPr>
        <w:t xml:space="preserve">7.2 While you work</w:t>
      </w:r>
    </w:p>
    <w:p>
      <w:pPr>
        <w:pStyle w:val="ListParagraph"/>
        <w:numPr>
          <w:ilvl w:val="0"/>
          <w:numId w:val="2"/>
        </w:numPr>
        <w:spacing w:after="80" w:line="276"/>
      </w:pPr>
      <w:r>
        <w:rPr>
          <w:rFonts w:ascii="Calibri" w:cs="Calibri" w:eastAsia="Calibri" w:hAnsi="Calibri"/>
          <w:color w:val="33475B"/>
          <w:sz w:val="21"/>
          <w:szCs w:val="21"/>
        </w:rPr>
        <w:t xml:space="preserve">State constraints explicitly. Ambiguous prompts produce plausible answers to a question you did not ask.</w:t>
      </w:r>
    </w:p>
    <w:p>
      <w:pPr>
        <w:pStyle w:val="ListParagraph"/>
        <w:numPr>
          <w:ilvl w:val="0"/>
          <w:numId w:val="2"/>
        </w:numPr>
        <w:spacing w:after="80" w:line="276"/>
      </w:pPr>
      <w:r>
        <w:rPr>
          <w:rFonts w:ascii="Calibri" w:cs="Calibri" w:eastAsia="Calibri" w:hAnsi="Calibri"/>
          <w:color w:val="33475B"/>
          <w:sz w:val="21"/>
          <w:szCs w:val="21"/>
        </w:rPr>
        <w:t xml:space="preserve">Ask for reasoning or sources when the answer will inform a decision.</w:t>
      </w:r>
    </w:p>
    <w:p>
      <w:pPr>
        <w:pStyle w:val="ListParagraph"/>
        <w:numPr>
          <w:ilvl w:val="0"/>
          <w:numId w:val="2"/>
        </w:numPr>
        <w:spacing w:after="80" w:line="276"/>
      </w:pPr>
      <w:r>
        <w:rPr>
          <w:rFonts w:ascii="Calibri" w:cs="Calibri" w:eastAsia="Calibri" w:hAnsi="Calibri"/>
          <w:color w:val="33475B"/>
          <w:sz w:val="21"/>
          <w:szCs w:val="21"/>
        </w:rPr>
        <w:t xml:space="preserve">Treat confident phrasing as a writing style, not evidence. Fluency and accuracy are unrelated.</w:t>
      </w:r>
    </w:p>
    <w:p>
      <w:pPr>
        <w:pStyle w:val="Heading2"/>
        <w:spacing w:after="110" w:before="240"/>
      </w:pPr>
      <w:r>
        <w:rPr>
          <w:rFonts w:ascii="Calibri" w:cs="Calibri" w:eastAsia="Calibri" w:hAnsi="Calibri"/>
          <w:b/>
          <w:bCs/>
          <w:color w:val="1E7E99"/>
          <w:sz w:val="23"/>
          <w:szCs w:val="23"/>
        </w:rPr>
        <w:t xml:space="preserve">7.3 Before you use the output</w:t>
      </w:r>
    </w:p>
    <w:p>
      <w:pPr>
        <w:pStyle w:val="ListParagraph"/>
        <w:numPr>
          <w:ilvl w:val="0"/>
          <w:numId w:val="2"/>
        </w:numPr>
        <w:spacing w:after="80" w:line="276"/>
      </w:pPr>
      <w:r>
        <w:rPr>
          <w:rFonts w:ascii="Calibri" w:cs="Calibri" w:eastAsia="Calibri" w:hAnsi="Calibri"/>
          <w:color w:val="33475B"/>
          <w:sz w:val="21"/>
          <w:szCs w:val="21"/>
        </w:rPr>
        <w:t xml:space="preserve">Verify every fact, figure, citation, and quotation independently. AI tools fabricate references that look entirely legitimate.</w:t>
      </w:r>
    </w:p>
    <w:p>
      <w:pPr>
        <w:pStyle w:val="ListParagraph"/>
        <w:numPr>
          <w:ilvl w:val="0"/>
          <w:numId w:val="2"/>
        </w:numPr>
        <w:spacing w:after="80" w:line="276"/>
      </w:pPr>
      <w:r>
        <w:rPr>
          <w:rFonts w:ascii="Calibri" w:cs="Calibri" w:eastAsia="Calibri" w:hAnsi="Calibri"/>
          <w:color w:val="33475B"/>
          <w:sz w:val="21"/>
          <w:szCs w:val="21"/>
        </w:rPr>
        <w:t xml:space="preserve">Check any code for security issues and licence compatibility before committing it.</w:t>
      </w:r>
    </w:p>
    <w:p>
      <w:pPr>
        <w:pStyle w:val="ListParagraph"/>
        <w:numPr>
          <w:ilvl w:val="0"/>
          <w:numId w:val="2"/>
        </w:numPr>
        <w:spacing w:after="80" w:line="276"/>
      </w:pPr>
      <w:r>
        <w:rPr>
          <w:rFonts w:ascii="Calibri" w:cs="Calibri" w:eastAsia="Calibri" w:hAnsi="Calibri"/>
          <w:color w:val="33475B"/>
          <w:sz w:val="21"/>
          <w:szCs w:val="21"/>
        </w:rPr>
        <w:t xml:space="preserve">Confirm that anything client-facing meets the standard you would apply to your own unaided work.</w:t>
      </w:r>
    </w:p>
    <w:p>
      <w:pPr>
        <w:pStyle w:val="ListParagraph"/>
        <w:numPr>
          <w:ilvl w:val="0"/>
          <w:numId w:val="2"/>
        </w:numPr>
        <w:spacing w:after="80" w:line="276"/>
      </w:pPr>
      <w:r>
        <w:rPr>
          <w:rFonts w:ascii="Calibri" w:cs="Calibri" w:eastAsia="Calibri" w:hAnsi="Calibri"/>
          <w:color w:val="33475B"/>
          <w:sz w:val="21"/>
          <w:szCs w:val="21"/>
        </w:rPr>
        <w:t xml:space="preserve">Keep a record of material AI assistance where [Organization] requires it — see section 8.</w:t>
      </w:r>
    </w:p>
    <w:p>
      <w:pPr>
        <w:pStyle w:val="Heading1"/>
        <w:spacing w:after="160" w:before="340"/>
      </w:pPr>
      <w:r>
        <w:rPr>
          <w:rFonts w:ascii="Calibri" w:cs="Calibri" w:eastAsia="Calibri" w:hAnsi="Calibri"/>
          <w:b/>
          <w:bCs/>
          <w:color w:val="0A1628"/>
          <w:sz w:val="28"/>
          <w:szCs w:val="28"/>
        </w:rPr>
        <w:t xml:space="preserve">8. Human Review and Accountability</w:t>
      </w:r>
    </w:p>
    <w:p>
      <w:pPr>
        <w:pStyle w:val="Heading2"/>
        <w:spacing w:after="110" w:before="240"/>
      </w:pPr>
      <w:r>
        <w:rPr>
          <w:rFonts w:ascii="Calibri" w:cs="Calibri" w:eastAsia="Calibri" w:hAnsi="Calibri"/>
          <w:b/>
          <w:bCs/>
          <w:color w:val="1E7E99"/>
          <w:sz w:val="23"/>
          <w:szCs w:val="23"/>
        </w:rPr>
        <w:t xml:space="preserve">8.1 The standard</w:t>
      </w:r>
    </w:p>
    <w:p>
      <w:pPr>
        <w:spacing w:after="140" w:line="276"/>
      </w:pPr>
      <w:r>
        <w:rPr>
          <w:rFonts w:ascii="Calibri" w:cs="Calibri" w:eastAsia="Calibri" w:hAnsi="Calibri"/>
          <w:b/>
          <w:bCs/>
          <w:color w:val="0A1628"/>
          <w:sz w:val="21"/>
          <w:szCs w:val="21"/>
        </w:rPr>
        <w:t xml:space="preserve">You are accountable for AI-assisted output exactly as you are for your own work. </w:t>
      </w:r>
      <w:r>
        <w:rPr>
          <w:rFonts w:ascii="Calibri" w:cs="Calibri" w:eastAsia="Calibri" w:hAnsi="Calibri"/>
          <w:color w:val="33475B"/>
          <w:sz w:val="21"/>
          <w:szCs w:val="21"/>
        </w:rPr>
        <w:t xml:space="preserve">"The AI produced it" is not a mitigating explanation, in the same way that "the spreadsheet calculated it" has never been one.</w:t>
      </w:r>
    </w:p>
    <w:p>
      <w:pPr>
        <w:pStyle w:val="Heading2"/>
        <w:spacing w:after="110" w:before="240"/>
      </w:pPr>
      <w:r>
        <w:rPr>
          <w:rFonts w:ascii="Calibri" w:cs="Calibri" w:eastAsia="Calibri" w:hAnsi="Calibri"/>
          <w:b/>
          <w:bCs/>
          <w:color w:val="1E7E99"/>
          <w:sz w:val="23"/>
          <w:szCs w:val="23"/>
        </w:rPr>
        <w:t xml:space="preserve">8.2 Where review must be documented</w:t>
      </w:r>
    </w:p>
    <w:p>
      <w:pPr>
        <w:spacing w:after="140" w:line="276"/>
      </w:pPr>
      <w:r>
        <w:rPr>
          <w:rFonts w:ascii="Calibri" w:cs="Calibri" w:eastAsia="Calibri" w:hAnsi="Calibri"/>
          <w:color w:val="33475B"/>
          <w:sz w:val="21"/>
          <w:szCs w:val="21"/>
        </w:rPr>
        <w:t xml:space="preserve">A named person must review and sign off AI-assisted output before it is used in any of the following: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3000"/>
        <w:gridCol w:w="2760"/>
      </w:tblGrid>
      <w:tr>
        <w:trPr>
          <w:tblHeader/>
        </w:trPr>
        <w:tc>
          <w:tcPr>
            <w:tcW w:type="dxa" w:w="3600"/>
            <w:shd w:fill="0A1628" w:color="auto" w:val="clear"/>
            <w:tcMar>
              <w:top w:type="dxa" w:w="90"/>
              <w:left w:type="dxa" w:w="130"/>
              <w:bottom w:type="dxa" w:w="90"/>
              <w:right w:type="dxa" w:w="130"/>
            </w:tcMar>
          </w:tcPr>
          <w:p>
            <w:pPr>
              <w:spacing w:after="0" w:line="260"/>
            </w:pPr>
            <w:r>
              <w:rPr>
                <w:rFonts w:ascii="Calibri" w:cs="Calibri" w:eastAsia="Calibri" w:hAnsi="Calibri"/>
                <w:b/>
                <w:bCs/>
                <w:color w:val="FFFFFF"/>
                <w:sz w:val="18"/>
                <w:szCs w:val="18"/>
              </w:rPr>
              <w:t xml:space="preserve">Context</w:t>
            </w:r>
          </w:p>
        </w:tc>
        <w:tc>
          <w:tcPr>
            <w:tcW w:type="dxa" w:w="3000"/>
            <w:shd w:fill="0A1628" w:color="auto" w:val="clear"/>
            <w:tcMar>
              <w:top w:type="dxa" w:w="90"/>
              <w:left w:type="dxa" w:w="130"/>
              <w:bottom w:type="dxa" w:w="90"/>
              <w:right w:type="dxa" w:w="130"/>
            </w:tcMar>
          </w:tcPr>
          <w:p>
            <w:pPr>
              <w:spacing w:after="0" w:line="260"/>
            </w:pPr>
            <w:r>
              <w:rPr>
                <w:rFonts w:ascii="Calibri" w:cs="Calibri" w:eastAsia="Calibri" w:hAnsi="Calibri"/>
                <w:b/>
                <w:bCs/>
                <w:color w:val="FFFFFF"/>
                <w:sz w:val="18"/>
                <w:szCs w:val="18"/>
              </w:rPr>
              <w:t xml:space="preserve">Reviewer</w:t>
            </w:r>
          </w:p>
        </w:tc>
        <w:tc>
          <w:tcPr>
            <w:tcW w:type="dxa" w:w="2760"/>
            <w:shd w:fill="0A1628" w:color="auto" w:val="clear"/>
            <w:tcMar>
              <w:top w:type="dxa" w:w="90"/>
              <w:left w:type="dxa" w:w="130"/>
              <w:bottom w:type="dxa" w:w="90"/>
              <w:right w:type="dxa" w:w="130"/>
            </w:tcMar>
          </w:tcPr>
          <w:p>
            <w:pPr>
              <w:spacing w:after="0" w:line="260"/>
            </w:pPr>
            <w:r>
              <w:rPr>
                <w:rFonts w:ascii="Calibri" w:cs="Calibri" w:eastAsia="Calibri" w:hAnsi="Calibri"/>
                <w:b/>
                <w:bCs/>
                <w:color w:val="FFFFFF"/>
                <w:sz w:val="18"/>
                <w:szCs w:val="18"/>
              </w:rPr>
              <w:t xml:space="preserve">Record required</w:t>
            </w:r>
          </w:p>
        </w:tc>
      </w:tr>
      <w:tr>
        <w:tc>
          <w:tcPr>
            <w:tcW w:type="dxa" w:w="36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Client deliverables</w:t>
            </w:r>
          </w:p>
        </w:tc>
        <w:tc>
          <w:tcPr>
            <w:tcW w:type="dxa" w:w="30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[Engagement lead]</w:t>
            </w:r>
          </w:p>
        </w:tc>
        <w:tc>
          <w:tcPr>
            <w:tcW w:type="dxa" w:w="27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[Yes]</w:t>
            </w:r>
          </w:p>
        </w:tc>
      </w:tr>
      <w:tr>
        <w:tc>
          <w:tcPr>
            <w:tcW w:type="dxa" w:w="36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External communications and marketing</w:t>
            </w:r>
          </w:p>
        </w:tc>
        <w:tc>
          <w:tcPr>
            <w:tcW w:type="dxa" w:w="30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[Marketing lead]</w:t>
            </w:r>
          </w:p>
        </w:tc>
        <w:tc>
          <w:tcPr>
            <w:tcW w:type="dxa" w:w="276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[Yes]</w:t>
            </w:r>
          </w:p>
        </w:tc>
      </w:tr>
      <w:tr>
        <w:tc>
          <w:tcPr>
            <w:tcW w:type="dxa" w:w="36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Financial analysis or reporting</w:t>
            </w:r>
          </w:p>
        </w:tc>
        <w:tc>
          <w:tcPr>
            <w:tcW w:type="dxa" w:w="30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[Finance]</w:t>
            </w:r>
          </w:p>
        </w:tc>
        <w:tc>
          <w:tcPr>
            <w:tcW w:type="dxa" w:w="27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[Yes]</w:t>
            </w:r>
          </w:p>
        </w:tc>
      </w:tr>
      <w:tr>
        <w:tc>
          <w:tcPr>
            <w:tcW w:type="dxa" w:w="36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Code deployed to production</w:t>
            </w:r>
          </w:p>
        </w:tc>
        <w:tc>
          <w:tcPr>
            <w:tcW w:type="dxa" w:w="30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[Engineering lead]</w:t>
            </w:r>
          </w:p>
        </w:tc>
        <w:tc>
          <w:tcPr>
            <w:tcW w:type="dxa" w:w="276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[Yes — code review]</w:t>
            </w:r>
          </w:p>
        </w:tc>
      </w:tr>
      <w:tr>
        <w:tc>
          <w:tcPr>
            <w:tcW w:type="dxa" w:w="36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Legal or contractual documents</w:t>
            </w:r>
          </w:p>
        </w:tc>
        <w:tc>
          <w:tcPr>
            <w:tcW w:type="dxa" w:w="30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[Legal]</w:t>
            </w:r>
          </w:p>
        </w:tc>
        <w:tc>
          <w:tcPr>
            <w:tcW w:type="dxa" w:w="27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[Yes]</w:t>
            </w:r>
          </w:p>
        </w:tc>
      </w:tr>
      <w:tr>
        <w:tc>
          <w:tcPr>
            <w:tcW w:type="dxa" w:w="36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Anything involving personal data</w:t>
            </w:r>
          </w:p>
        </w:tc>
        <w:tc>
          <w:tcPr>
            <w:tcW w:type="dxa" w:w="30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[Privacy / Security]</w:t>
            </w:r>
          </w:p>
        </w:tc>
        <w:tc>
          <w:tcPr>
            <w:tcW w:type="dxa" w:w="276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[Yes]</w:t>
            </w:r>
          </w:p>
        </w:tc>
      </w:tr>
      <w:tr>
        <w:tc>
          <w:tcPr>
            <w:tcW w:type="dxa" w:w="36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Internal drafts and personal productivity</w:t>
            </w:r>
          </w:p>
        </w:tc>
        <w:tc>
          <w:tcPr>
            <w:tcW w:type="dxa" w:w="30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[Author]</w:t>
            </w:r>
          </w:p>
        </w:tc>
        <w:tc>
          <w:tcPr>
            <w:tcW w:type="dxa" w:w="27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[No]</w:t>
            </w:r>
          </w:p>
        </w:tc>
      </w:tr>
    </w:tbl>
    <w:p>
      <w:pPr>
        <w:pStyle w:val="Heading2"/>
        <w:spacing w:after="110" w:before="240"/>
      </w:pPr>
      <w:r>
        <w:rPr>
          <w:rFonts w:ascii="Calibri" w:cs="Calibri" w:eastAsia="Calibri" w:hAnsi="Calibri"/>
          <w:b/>
          <w:bCs/>
          <w:color w:val="1E7E99"/>
          <w:sz w:val="23"/>
          <w:szCs w:val="23"/>
        </w:rPr>
        <w:t xml:space="preserve">8.3 Disclosure</w:t>
      </w:r>
    </w:p>
    <w:p>
      <w:pPr>
        <w:spacing w:after="140" w:line="276"/>
      </w:pPr>
      <w:r>
        <w:rPr>
          <w:rFonts w:ascii="Calibri" w:cs="Calibri" w:eastAsia="Calibri" w:hAnsi="Calibri"/>
          <w:color w:val="33475B"/>
          <w:sz w:val="21"/>
          <w:szCs w:val="21"/>
        </w:rPr>
        <w:t xml:space="preserve">[State your position: whether AI assistance must be disclosed to clients, in what circumstances, and in what form. Check client contracts — some now require notification or prohibit AI use on their work entirely.]</w:t>
      </w:r>
    </w:p>
    <w:p>
      <w:pPr>
        <w:pStyle w:val="Heading1"/>
        <w:spacing w:after="160" w:before="340"/>
      </w:pPr>
      <w:r>
        <w:rPr>
          <w:rFonts w:ascii="Calibri" w:cs="Calibri" w:eastAsia="Calibri" w:hAnsi="Calibri"/>
          <w:b/>
          <w:bCs/>
          <w:color w:val="0A1628"/>
          <w:sz w:val="28"/>
          <w:szCs w:val="28"/>
        </w:rPr>
        <w:t xml:space="preserve">9. Intellectual Property and Confidentiality</w:t>
      </w:r>
    </w:p>
    <w:p>
      <w:pPr>
        <w:pStyle w:val="Heading2"/>
        <w:spacing w:after="110" w:before="240"/>
      </w:pPr>
      <w:r>
        <w:rPr>
          <w:rFonts w:ascii="Calibri" w:cs="Calibri" w:eastAsia="Calibri" w:hAnsi="Calibri"/>
          <w:b/>
          <w:bCs/>
          <w:color w:val="1E7E99"/>
          <w:sz w:val="23"/>
          <w:szCs w:val="23"/>
        </w:rPr>
        <w:t xml:space="preserve">9.1 Ownership of output</w:t>
      </w:r>
    </w:p>
    <w:p>
      <w:pPr>
        <w:spacing w:after="140" w:line="276"/>
      </w:pPr>
      <w:r>
        <w:rPr>
          <w:rFonts w:ascii="Calibri" w:cs="Calibri" w:eastAsia="Calibri" w:hAnsi="Calibri"/>
          <w:color w:val="33475B"/>
          <w:sz w:val="21"/>
          <w:szCs w:val="21"/>
        </w:rPr>
        <w:t xml:space="preserve">Ownership and protectability of AI-generated material varies by jurisdiction and is still developing. [Organization]'s position is: [state your position, confirmed with counsel].</w:t>
      </w:r>
    </w:p>
    <w:p>
      <w:pPr>
        <w:pStyle w:val="Heading2"/>
        <w:spacing w:after="110" w:before="240"/>
      </w:pPr>
      <w:r>
        <w:rPr>
          <w:rFonts w:ascii="Calibri" w:cs="Calibri" w:eastAsia="Calibri" w:hAnsi="Calibri"/>
          <w:b/>
          <w:bCs/>
          <w:color w:val="1E7E99"/>
          <w:sz w:val="23"/>
          <w:szCs w:val="23"/>
        </w:rPr>
        <w:t xml:space="preserve">9.2 Third-party rights</w:t>
      </w:r>
    </w:p>
    <w:p>
      <w:pPr>
        <w:spacing w:after="140" w:line="276"/>
      </w:pPr>
      <w:r>
        <w:rPr>
          <w:rFonts w:ascii="Calibri" w:cs="Calibri" w:eastAsia="Calibri" w:hAnsi="Calibri"/>
          <w:color w:val="33475B"/>
          <w:sz w:val="21"/>
          <w:szCs w:val="21"/>
        </w:rPr>
        <w:t xml:space="preserve">AI output may reproduce or closely resemble copyrighted material from training data. Before using AI-generated content externally:</w:t>
      </w:r>
    </w:p>
    <w:p>
      <w:pPr>
        <w:pStyle w:val="ListParagraph"/>
        <w:numPr>
          <w:ilvl w:val="0"/>
          <w:numId w:val="2"/>
        </w:numPr>
        <w:spacing w:after="80" w:line="276"/>
      </w:pPr>
      <w:r>
        <w:rPr>
          <w:rFonts w:ascii="Calibri" w:cs="Calibri" w:eastAsia="Calibri" w:hAnsi="Calibri"/>
          <w:color w:val="33475B"/>
          <w:sz w:val="21"/>
          <w:szCs w:val="21"/>
        </w:rPr>
        <w:t xml:space="preserve">Check that images, logos, and designs do not reproduce protected works</w:t>
      </w:r>
    </w:p>
    <w:p>
      <w:pPr>
        <w:pStyle w:val="ListParagraph"/>
        <w:numPr>
          <w:ilvl w:val="0"/>
          <w:numId w:val="2"/>
        </w:numPr>
        <w:spacing w:after="80" w:line="276"/>
      </w:pPr>
      <w:r>
        <w:rPr>
          <w:rFonts w:ascii="Calibri" w:cs="Calibri" w:eastAsia="Calibri" w:hAnsi="Calibri"/>
          <w:color w:val="33475B"/>
          <w:sz w:val="21"/>
          <w:szCs w:val="21"/>
        </w:rPr>
        <w:t xml:space="preserve">Verify that generated code complies with the licences of any libraries it uses</w:t>
      </w:r>
    </w:p>
    <w:p>
      <w:pPr>
        <w:pStyle w:val="ListParagraph"/>
        <w:numPr>
          <w:ilvl w:val="0"/>
          <w:numId w:val="2"/>
        </w:numPr>
        <w:spacing w:after="80" w:line="276"/>
      </w:pPr>
      <w:r>
        <w:rPr>
          <w:rFonts w:ascii="Calibri" w:cs="Calibri" w:eastAsia="Calibri" w:hAnsi="Calibri"/>
          <w:color w:val="33475B"/>
          <w:sz w:val="21"/>
          <w:szCs w:val="21"/>
        </w:rPr>
        <w:t xml:space="preserve">Treat close paraphrase of a known source as you would a direct quotation</w:t>
      </w:r>
    </w:p>
    <w:p>
      <w:pPr>
        <w:pStyle w:val="Heading2"/>
        <w:spacing w:after="110" w:before="240"/>
      </w:pPr>
      <w:r>
        <w:rPr>
          <w:rFonts w:ascii="Calibri" w:cs="Calibri" w:eastAsia="Calibri" w:hAnsi="Calibri"/>
          <w:b/>
          <w:bCs/>
          <w:color w:val="1E7E99"/>
          <w:sz w:val="23"/>
          <w:szCs w:val="23"/>
        </w:rPr>
        <w:t xml:space="preserve">9.3 Your data and vendor training</w:t>
      </w:r>
    </w:p>
    <w:p>
      <w:pPr>
        <w:spacing w:after="140" w:line="276"/>
      </w:pPr>
      <w:r>
        <w:rPr>
          <w:rFonts w:ascii="Calibri" w:cs="Calibri" w:eastAsia="Calibri" w:hAnsi="Calibri"/>
          <w:color w:val="33475B"/>
          <w:sz w:val="21"/>
          <w:szCs w:val="21"/>
        </w:rPr>
        <w:t xml:space="preserve">Approved tools are reviewed for whether the vendor uses submitted content to train its models. Only tools with confirmed training opt-out may be used with [Internal] data or above.</w:t>
      </w:r>
    </w:p>
    <w:p>
      <w:pPr>
        <w:spacing w:after="140" w:line="276"/>
      </w:pPr>
      <w:r>
        <w:rPr>
          <w:rFonts w:ascii="Calibri" w:cs="Calibri" w:eastAsia="Calibri" w:hAnsi="Calibri"/>
          <w:b/>
          <w:bCs/>
          <w:color w:val="0A1628"/>
          <w:sz w:val="21"/>
          <w:szCs w:val="21"/>
        </w:rPr>
        <w:t xml:space="preserve">Free and consumer tiers frequently do train on submitted content, even where the paid tier of the same product does not. </w:t>
      </w:r>
      <w:r>
        <w:rPr>
          <w:rFonts w:ascii="Calibri" w:cs="Calibri" w:eastAsia="Calibri" w:hAnsi="Calibri"/>
          <w:color w:val="33475B"/>
          <w:sz w:val="21"/>
          <w:szCs w:val="21"/>
        </w:rPr>
        <w:t xml:space="preserve">The tier matters as much as the tool.</w:t>
      </w:r>
    </w:p>
    <w:p>
      <w:pPr>
        <w:pStyle w:val="Heading1"/>
        <w:spacing w:after="160" w:before="340"/>
      </w:pPr>
      <w:r>
        <w:rPr>
          <w:rFonts w:ascii="Calibri" w:cs="Calibri" w:eastAsia="Calibri" w:hAnsi="Calibri"/>
          <w:b/>
          <w:bCs/>
          <w:color w:val="0A1628"/>
          <w:sz w:val="28"/>
          <w:szCs w:val="28"/>
        </w:rPr>
        <w:t xml:space="preserve">10. Client and Third-Party Obligations</w:t>
      </w:r>
    </w:p>
    <w:p>
      <w:pPr>
        <w:spacing w:after="140" w:line="276"/>
      </w:pPr>
      <w:r>
        <w:rPr>
          <w:rFonts w:ascii="Calibri" w:cs="Calibri" w:eastAsia="Calibri" w:hAnsi="Calibri"/>
          <w:color w:val="33475B"/>
          <w:sz w:val="21"/>
          <w:szCs w:val="21"/>
        </w:rPr>
        <w:t xml:space="preserve">Before using any AI tool on work for a client or partner:</w:t>
      </w:r>
    </w:p>
    <w:p>
      <w:pPr>
        <w:pStyle w:val="ListParagraph"/>
        <w:numPr>
          <w:ilvl w:val="0"/>
          <w:numId w:val="2"/>
        </w:numPr>
        <w:spacing w:after="80" w:line="276"/>
      </w:pPr>
      <w:r>
        <w:rPr>
          <w:rFonts w:ascii="Calibri" w:cs="Calibri" w:eastAsia="Calibri" w:hAnsi="Calibri"/>
          <w:color w:val="33475B"/>
          <w:sz w:val="21"/>
          <w:szCs w:val="21"/>
        </w:rPr>
        <w:t xml:space="preserve">Check the engagement contract for AI restrictions, notification requirements, or subprocessor clauses</w:t>
      </w:r>
    </w:p>
    <w:p>
      <w:pPr>
        <w:pStyle w:val="ListParagraph"/>
        <w:numPr>
          <w:ilvl w:val="0"/>
          <w:numId w:val="2"/>
        </w:numPr>
        <w:spacing w:after="80" w:line="276"/>
      </w:pPr>
      <w:r>
        <w:rPr>
          <w:rFonts w:ascii="Calibri" w:cs="Calibri" w:eastAsia="Calibri" w:hAnsi="Calibri"/>
          <w:color w:val="33475B"/>
          <w:sz w:val="21"/>
          <w:szCs w:val="21"/>
        </w:rPr>
        <w:t xml:space="preserve">Confirm whether the client has approved the specific tool</w:t>
      </w:r>
    </w:p>
    <w:p>
      <w:pPr>
        <w:pStyle w:val="ListParagraph"/>
        <w:numPr>
          <w:ilvl w:val="0"/>
          <w:numId w:val="2"/>
        </w:numPr>
        <w:spacing w:after="80" w:line="276"/>
      </w:pPr>
      <w:r>
        <w:rPr>
          <w:rFonts w:ascii="Calibri" w:cs="Calibri" w:eastAsia="Calibri" w:hAnsi="Calibri"/>
          <w:color w:val="33475B"/>
          <w:sz w:val="21"/>
          <w:szCs w:val="21"/>
        </w:rPr>
        <w:t xml:space="preserve">Apply the stricter of [Organization]'s rules and the client's, without exception</w:t>
      </w:r>
    </w:p>
    <w:p>
      <w:pPr>
        <w:pStyle w:val="ListParagraph"/>
        <w:numPr>
          <w:ilvl w:val="0"/>
          <w:numId w:val="2"/>
        </w:numPr>
        <w:spacing w:after="80" w:line="276"/>
      </w:pPr>
      <w:r>
        <w:rPr>
          <w:rFonts w:ascii="Calibri" w:cs="Calibri" w:eastAsia="Calibri" w:hAnsi="Calibri"/>
          <w:color w:val="33475B"/>
          <w:sz w:val="21"/>
          <w:szCs w:val="21"/>
        </w:rPr>
        <w:t xml:space="preserve">Record the approval in the engagement file</w:t>
      </w:r>
    </w:p>
    <w:p>
      <w:pPr>
        <w:spacing w:after="140" w:line="276"/>
      </w:pPr>
      <w:r>
        <w:rPr>
          <w:rFonts w:ascii="Calibri" w:cs="Calibri" w:eastAsia="Calibri" w:hAnsi="Calibri"/>
          <w:color w:val="33475B"/>
          <w:sz w:val="21"/>
          <w:szCs w:val="21"/>
        </w:rPr>
        <w:t xml:space="preserve">Where a client prohibits AI use, that prohibition applies to embedded AI features as well as standalone tools. [IT] can confirm which of your everyday applications include AI functionality.</w:t>
      </w:r>
    </w:p>
    <w:p>
      <w:pPr>
        <w:pStyle w:val="Heading1"/>
        <w:spacing w:after="160" w:before="340"/>
      </w:pPr>
      <w:r>
        <w:rPr>
          <w:rFonts w:ascii="Calibri" w:cs="Calibri" w:eastAsia="Calibri" w:hAnsi="Calibri"/>
          <w:b/>
          <w:bCs/>
          <w:color w:val="0A1628"/>
          <w:sz w:val="28"/>
          <w:szCs w:val="28"/>
        </w:rPr>
        <w:t xml:space="preserve">11. Monitoring and Enforcement</w:t>
      </w:r>
    </w:p>
    <w:p>
      <w:pPr>
        <w:pStyle w:val="Heading2"/>
        <w:spacing w:after="110" w:before="240"/>
      </w:pPr>
      <w:r>
        <w:rPr>
          <w:rFonts w:ascii="Calibri" w:cs="Calibri" w:eastAsia="Calibri" w:hAnsi="Calibri"/>
          <w:b/>
          <w:bCs/>
          <w:color w:val="1E7E99"/>
          <w:sz w:val="23"/>
          <w:szCs w:val="23"/>
        </w:rPr>
        <w:t xml:space="preserve">11.1 Discovery</w:t>
      </w:r>
    </w:p>
    <w:p>
      <w:pPr>
        <w:spacing w:after="140" w:line="276"/>
      </w:pPr>
      <w:r>
        <w:rPr>
          <w:rFonts w:ascii="Calibri" w:cs="Calibri" w:eastAsia="Calibri" w:hAnsi="Calibri"/>
          <w:color w:val="33475B"/>
          <w:sz w:val="21"/>
          <w:szCs w:val="21"/>
        </w:rPr>
        <w:t xml:space="preserve">[Organization] periodically reviews expense data, single sign-on logs, network telemetry, and browser extension inventories to identify AI tools in use that are not recorded in the Register.</w:t>
      </w:r>
    </w:p>
    <w:p>
      <w:pPr>
        <w:spacing w:after="140" w:line="276"/>
      </w:pPr>
      <w:r>
        <w:rPr>
          <w:rFonts w:ascii="Calibri" w:cs="Calibri" w:eastAsia="Calibri" w:hAnsi="Calibri"/>
          <w:color w:val="33475B"/>
          <w:sz w:val="21"/>
          <w:szCs w:val="21"/>
        </w:rPr>
        <w:t xml:space="preserve">The purpose is to bring tools under governance, not to catch people out. Tools found this way are assessed and either approved, approved with conditions, or withdrawn.</w:t>
      </w:r>
    </w:p>
    <w:p>
      <w:pPr>
        <w:pStyle w:val="Heading2"/>
        <w:spacing w:after="110" w:before="240"/>
      </w:pPr>
      <w:r>
        <w:rPr>
          <w:rFonts w:ascii="Calibri" w:cs="Calibri" w:eastAsia="Calibri" w:hAnsi="Calibri"/>
          <w:b/>
          <w:bCs/>
          <w:color w:val="1E7E99"/>
          <w:sz w:val="23"/>
          <w:szCs w:val="23"/>
        </w:rPr>
        <w:t xml:space="preserve">11.2 Enforcement</w:t>
      </w:r>
    </w:p>
    <w:p>
      <w:pPr>
        <w:spacing w:after="140" w:line="276"/>
      </w:pPr>
      <w:r>
        <w:rPr>
          <w:rFonts w:ascii="Calibri" w:cs="Calibri" w:eastAsia="Calibri" w:hAnsi="Calibri"/>
          <w:color w:val="33475B"/>
          <w:sz w:val="21"/>
          <w:szCs w:val="21"/>
        </w:rPr>
        <w:t xml:space="preserve">Breaches of this policy are handled under [Organization]'s existing disciplinary process, proportionate to the risk created. Deliberate submission of restricted data to an unapproved tool is treated as a serious matter.</w:t>
      </w:r>
    </w:p>
    <w:tbl>
      <w:tblPr>
        <w:tblW w:type="dxa" w:w="9360"/>
        <w:tblBorders>
          <w:top w:val="single" w:color="D4DCE4" w:sz="2"/>
          <w:left w:val="single" w:color="C25F08" w:sz="18"/>
          <w:bottom w:val="single" w:color="D4DCE4" w:sz="2"/>
          <w:right w:val="single" w:color="D4DCE4" w:sz="2"/>
          <w:insideH w:val="none"/>
          <w:insideV w:val="none"/>
        </w:tblBorders>
      </w:tblPr>
      <w:tblGrid>
        <w:gridCol w:w="9360"/>
      </w:tblGrid>
      <w:tr>
        <w:tc>
          <w:tcPr>
            <w:tcW w:type="dxa" w:w="9360"/>
            <w:shd w:fill="F4F7FA" w:color="auto" w:val="clear"/>
            <w:tcMar>
              <w:top w:type="dxa" w:w="140"/>
              <w:left w:type="dxa" w:w="180"/>
              <w:bottom w:type="dxa" w:w="140"/>
              <w:right w:type="dxa" w:w="180"/>
            </w:tcMar>
          </w:tcPr>
          <w:p>
            <w:pPr>
              <w:spacing w:after="60"/>
            </w:pPr>
            <w:r>
              <w:rPr>
                <w:rFonts w:ascii="Calibri" w:cs="Calibri" w:eastAsia="Calibri" w:hAnsi="Calibri"/>
                <w:b/>
                <w:bCs/>
                <w:color w:val="C25F08"/>
                <w:sz w:val="17"/>
                <w:szCs w:val="17"/>
              </w:rPr>
              <w:t xml:space="preserve">DRAFTING NOTE — Say what monitoring actually happens</w:t>
            </w:r>
          </w:p>
          <w:p>
            <w:pPr>
              <w:spacing w:after="0" w:line="260"/>
            </w:pPr>
            <w:r>
              <w:rPr>
                <w:rFonts w:ascii="Calibri" w:cs="Calibri" w:eastAsia="Calibri" w:hAnsi="Calibri"/>
                <w:i/>
                <w:iCs/>
                <w:color w:val="6B8BA4"/>
                <w:sz w:val="18"/>
                <w:szCs w:val="18"/>
              </w:rPr>
              <w:t xml:space="preserve">Vague monitoring language creates employment-law exposure in several jurisdictions and erodes trust in every other clause. State what is collected, why, and how long it is retained — and have counsel confirm it against local requirements and any works council or consultation obligations.</w:t>
            </w:r>
          </w:p>
        </w:tc>
      </w:tr>
    </w:tbl>
    <w:p>
      <w:pPr>
        <w:pStyle w:val="Heading1"/>
        <w:spacing w:after="160" w:before="340"/>
      </w:pPr>
      <w:r>
        <w:rPr>
          <w:rFonts w:ascii="Calibri" w:cs="Calibri" w:eastAsia="Calibri" w:hAnsi="Calibri"/>
          <w:b/>
          <w:bCs/>
          <w:color w:val="0A1628"/>
          <w:sz w:val="28"/>
          <w:szCs w:val="28"/>
        </w:rPr>
        <w:t xml:space="preserve">12. Incident Reporting</w:t>
      </w:r>
    </w:p>
    <w:p>
      <w:pPr>
        <w:pStyle w:val="Heading2"/>
        <w:spacing w:after="110" w:before="240"/>
      </w:pPr>
      <w:r>
        <w:rPr>
          <w:rFonts w:ascii="Calibri" w:cs="Calibri" w:eastAsia="Calibri" w:hAnsi="Calibri"/>
          <w:b/>
          <w:bCs/>
          <w:color w:val="1E7E99"/>
          <w:sz w:val="23"/>
          <w:szCs w:val="23"/>
        </w:rPr>
        <w:t xml:space="preserve">12.1 What to report</w:t>
      </w:r>
    </w:p>
    <w:p>
      <w:pPr>
        <w:spacing w:after="140" w:line="276"/>
      </w:pPr>
      <w:r>
        <w:rPr>
          <w:rFonts w:ascii="Calibri" w:cs="Calibri" w:eastAsia="Calibri" w:hAnsi="Calibri"/>
          <w:color w:val="33475B"/>
          <w:sz w:val="21"/>
          <w:szCs w:val="21"/>
        </w:rPr>
        <w:t xml:space="preserve">Report immediately if any of the following occurs:</w:t>
      </w:r>
    </w:p>
    <w:p>
      <w:pPr>
        <w:pStyle w:val="ListParagraph"/>
        <w:numPr>
          <w:ilvl w:val="0"/>
          <w:numId w:val="2"/>
        </w:numPr>
        <w:spacing w:after="80" w:line="276"/>
      </w:pPr>
      <w:r>
        <w:rPr>
          <w:rFonts w:ascii="Calibri" w:cs="Calibri" w:eastAsia="Calibri" w:hAnsi="Calibri"/>
          <w:color w:val="33475B"/>
          <w:sz w:val="21"/>
          <w:szCs w:val="21"/>
        </w:rPr>
        <w:t xml:space="preserve">Restricted or confidential data was entered into an unapproved tool</w:t>
      </w:r>
    </w:p>
    <w:p>
      <w:pPr>
        <w:pStyle w:val="ListParagraph"/>
        <w:numPr>
          <w:ilvl w:val="0"/>
          <w:numId w:val="2"/>
        </w:numPr>
        <w:spacing w:after="80" w:line="276"/>
      </w:pPr>
      <w:r>
        <w:rPr>
          <w:rFonts w:ascii="Calibri" w:cs="Calibri" w:eastAsia="Calibri" w:hAnsi="Calibri"/>
          <w:color w:val="33475B"/>
          <w:sz w:val="21"/>
          <w:szCs w:val="21"/>
        </w:rPr>
        <w:t xml:space="preserve">AI output containing errors was used or shared externally</w:t>
      </w:r>
    </w:p>
    <w:p>
      <w:pPr>
        <w:pStyle w:val="ListParagraph"/>
        <w:numPr>
          <w:ilvl w:val="0"/>
          <w:numId w:val="2"/>
        </w:numPr>
        <w:spacing w:after="80" w:line="276"/>
      </w:pPr>
      <w:r>
        <w:rPr>
          <w:rFonts w:ascii="Calibri" w:cs="Calibri" w:eastAsia="Calibri" w:hAnsi="Calibri"/>
          <w:color w:val="33475B"/>
          <w:sz w:val="21"/>
          <w:szCs w:val="21"/>
        </w:rPr>
        <w:t xml:space="preserve">AI output surfaced information you should not have been able to see</w:t>
      </w:r>
    </w:p>
    <w:p>
      <w:pPr>
        <w:pStyle w:val="ListParagraph"/>
        <w:numPr>
          <w:ilvl w:val="0"/>
          <w:numId w:val="2"/>
        </w:numPr>
        <w:spacing w:after="80" w:line="276"/>
      </w:pPr>
      <w:r>
        <w:rPr>
          <w:rFonts w:ascii="Calibri" w:cs="Calibri" w:eastAsia="Calibri" w:hAnsi="Calibri"/>
          <w:color w:val="33475B"/>
          <w:sz w:val="21"/>
          <w:szCs w:val="21"/>
        </w:rPr>
        <w:t xml:space="preserve">An AI tool behaved in a way that suggests a security or privacy issue</w:t>
      </w:r>
    </w:p>
    <w:p>
      <w:pPr>
        <w:pStyle w:val="ListParagraph"/>
        <w:numPr>
          <w:ilvl w:val="0"/>
          <w:numId w:val="2"/>
        </w:numPr>
        <w:spacing w:after="80" w:line="276"/>
      </w:pPr>
      <w:r>
        <w:rPr>
          <w:rFonts w:ascii="Calibri" w:cs="Calibri" w:eastAsia="Calibri" w:hAnsi="Calibri"/>
          <w:color w:val="33475B"/>
          <w:sz w:val="21"/>
          <w:szCs w:val="21"/>
        </w:rPr>
        <w:t xml:space="preserve">A client raised a concern about AI use on their work</w:t>
      </w:r>
    </w:p>
    <w:p>
      <w:pPr>
        <w:pStyle w:val="Heading2"/>
        <w:spacing w:after="110" w:before="240"/>
      </w:pPr>
      <w:r>
        <w:rPr>
          <w:rFonts w:ascii="Calibri" w:cs="Calibri" w:eastAsia="Calibri" w:hAnsi="Calibri"/>
          <w:b/>
          <w:bCs/>
          <w:color w:val="1E7E99"/>
          <w:sz w:val="23"/>
          <w:szCs w:val="23"/>
        </w:rPr>
        <w:t xml:space="preserve">12.2 How to report</w:t>
      </w:r>
    </w:p>
    <w:p>
      <w:pPr>
        <w:spacing w:after="140" w:line="276"/>
      </w:pPr>
      <w:r>
        <w:rPr>
          <w:rFonts w:ascii="Calibri" w:cs="Calibri" w:eastAsia="Calibri" w:hAnsi="Calibri"/>
          <w:color w:val="33475B"/>
          <w:sz w:val="21"/>
          <w:szCs w:val="21"/>
        </w:rPr>
        <w:t xml:space="preserve">Contact [Security contact] at [email] or [phone]. For urgent matters outside business hours, use [escalation path].</w:t>
      </w:r>
    </w:p>
    <w:p>
      <w:pPr>
        <w:spacing w:after="140" w:line="276"/>
      </w:pPr>
      <w:r>
        <w:rPr>
          <w:rFonts w:ascii="Calibri" w:cs="Calibri" w:eastAsia="Calibri" w:hAnsi="Calibri"/>
          <w:b/>
          <w:bCs/>
          <w:color w:val="0A1628"/>
          <w:sz w:val="21"/>
          <w:szCs w:val="21"/>
        </w:rPr>
        <w:t xml:space="preserve">Report first, investigate second. </w:t>
      </w:r>
      <w:r>
        <w:rPr>
          <w:rFonts w:ascii="Calibri" w:cs="Calibri" w:eastAsia="Calibri" w:hAnsi="Calibri"/>
          <w:color w:val="33475B"/>
          <w:sz w:val="21"/>
          <w:szCs w:val="21"/>
        </w:rPr>
        <w:t xml:space="preserve">Prompt disclosure is treated as the correct response and will not itself result in disciplinary action. Concealment will.</w:t>
      </w:r>
    </w:p>
    <w:p>
      <w:pPr>
        <w:pStyle w:val="Heading2"/>
        <w:spacing w:after="110" w:before="240"/>
      </w:pPr>
      <w:r>
        <w:rPr>
          <w:rFonts w:ascii="Calibri" w:cs="Calibri" w:eastAsia="Calibri" w:hAnsi="Calibri"/>
          <w:b/>
          <w:bCs/>
          <w:color w:val="1E7E99"/>
          <w:sz w:val="23"/>
          <w:szCs w:val="23"/>
        </w:rPr>
        <w:t xml:space="preserve">12.3 What happens next</w:t>
      </w:r>
    </w:p>
    <w:p>
      <w:pPr>
        <w:pStyle w:val="ListParagraph"/>
        <w:numPr>
          <w:ilvl w:val="0"/>
          <w:numId w:val="2"/>
        </w:numPr>
        <w:spacing w:after="80" w:line="276"/>
      </w:pPr>
      <w:r>
        <w:rPr>
          <w:rFonts w:ascii="Calibri" w:cs="Calibri" w:eastAsia="Calibri" w:hAnsi="Calibri"/>
          <w:color w:val="33475B"/>
          <w:sz w:val="21"/>
          <w:szCs w:val="21"/>
        </w:rPr>
        <w:t xml:space="preserve">[Security] assesses scope and containment within [N] hours</w:t>
      </w:r>
    </w:p>
    <w:p>
      <w:pPr>
        <w:pStyle w:val="ListParagraph"/>
        <w:numPr>
          <w:ilvl w:val="0"/>
          <w:numId w:val="2"/>
        </w:numPr>
        <w:spacing w:after="80" w:line="276"/>
      </w:pPr>
      <w:r>
        <w:rPr>
          <w:rFonts w:ascii="Calibri" w:cs="Calibri" w:eastAsia="Calibri" w:hAnsi="Calibri"/>
          <w:color w:val="33475B"/>
          <w:sz w:val="21"/>
          <w:szCs w:val="21"/>
        </w:rPr>
        <w:t xml:space="preserve">[Legal / Privacy] determines any notification obligation</w:t>
      </w:r>
    </w:p>
    <w:p>
      <w:pPr>
        <w:pStyle w:val="ListParagraph"/>
        <w:numPr>
          <w:ilvl w:val="0"/>
          <w:numId w:val="2"/>
        </w:numPr>
        <w:spacing w:after="80" w:line="276"/>
      </w:pPr>
      <w:r>
        <w:rPr>
          <w:rFonts w:ascii="Calibri" w:cs="Calibri" w:eastAsia="Calibri" w:hAnsi="Calibri"/>
          <w:color w:val="33475B"/>
          <w:sz w:val="21"/>
          <w:szCs w:val="21"/>
        </w:rPr>
        <w:t xml:space="preserve">[IT / ITAM] reviews whether tool conditions need to change</w:t>
      </w:r>
    </w:p>
    <w:p>
      <w:pPr>
        <w:pStyle w:val="ListParagraph"/>
        <w:numPr>
          <w:ilvl w:val="0"/>
          <w:numId w:val="2"/>
        </w:numPr>
        <w:spacing w:after="80" w:line="276"/>
      </w:pPr>
      <w:r>
        <w:rPr>
          <w:rFonts w:ascii="Calibri" w:cs="Calibri" w:eastAsia="Calibri" w:hAnsi="Calibri"/>
          <w:color w:val="33475B"/>
          <w:sz w:val="21"/>
          <w:szCs w:val="21"/>
        </w:rPr>
        <w:t xml:space="preserve">The incident and its resolution are recorded and fed into the policy review</w:t>
      </w:r>
    </w:p>
    <w:p>
      <w:pPr>
        <w:pStyle w:val="Heading1"/>
        <w:spacing w:after="160" w:before="340"/>
      </w:pPr>
      <w:r>
        <w:rPr>
          <w:rFonts w:ascii="Calibri" w:cs="Calibri" w:eastAsia="Calibri" w:hAnsi="Calibri"/>
          <w:b/>
          <w:bCs/>
          <w:color w:val="0A1628"/>
          <w:sz w:val="28"/>
          <w:szCs w:val="28"/>
        </w:rPr>
        <w:t xml:space="preserve">13. Training, Acknowledgement, and Review</w:t>
      </w:r>
    </w:p>
    <w:p>
      <w:pPr>
        <w:pStyle w:val="Heading2"/>
        <w:spacing w:after="110" w:before="240"/>
      </w:pPr>
      <w:r>
        <w:rPr>
          <w:rFonts w:ascii="Calibri" w:cs="Calibri" w:eastAsia="Calibri" w:hAnsi="Calibri"/>
          <w:b/>
          <w:bCs/>
          <w:color w:val="1E7E99"/>
          <w:sz w:val="23"/>
          <w:szCs w:val="23"/>
        </w:rPr>
        <w:t xml:space="preserve">13.1 Training</w:t>
      </w:r>
    </w:p>
    <w:p>
      <w:pPr>
        <w:spacing w:after="140" w:line="276"/>
      </w:pPr>
      <w:r>
        <w:rPr>
          <w:rFonts w:ascii="Calibri" w:cs="Calibri" w:eastAsia="Calibri" w:hAnsi="Calibri"/>
          <w:color w:val="33475B"/>
          <w:sz w:val="21"/>
          <w:szCs w:val="21"/>
        </w:rPr>
        <w:t xml:space="preserve">All staff complete [AI awareness training] before being granted access to an approved AI tool, and refresher training [annually].</w:t>
      </w:r>
    </w:p>
    <w:p>
      <w:pPr>
        <w:pStyle w:val="Heading2"/>
        <w:spacing w:after="110" w:before="240"/>
      </w:pPr>
      <w:r>
        <w:rPr>
          <w:rFonts w:ascii="Calibri" w:cs="Calibri" w:eastAsia="Calibri" w:hAnsi="Calibri"/>
          <w:b/>
          <w:bCs/>
          <w:color w:val="1E7E99"/>
          <w:sz w:val="23"/>
          <w:szCs w:val="23"/>
        </w:rPr>
        <w:t xml:space="preserve">13.2 Acknowledgement</w:t>
      </w:r>
    </w:p>
    <w:p>
      <w:pPr>
        <w:spacing w:after="140" w:line="276"/>
      </w:pPr>
      <w:r>
        <w:rPr>
          <w:rFonts w:ascii="Calibri" w:cs="Calibri" w:eastAsia="Calibri" w:hAnsi="Calibri"/>
          <w:color w:val="33475B"/>
          <w:sz w:val="21"/>
          <w:szCs w:val="21"/>
        </w:rPr>
        <w:t xml:space="preserve">All staff acknowledge this policy on joining and whenever it is materially revised. Records are retained by [HR].</w:t>
      </w:r>
    </w:p>
    <w:p>
      <w:pPr>
        <w:pStyle w:val="Heading2"/>
        <w:spacing w:after="110" w:before="240"/>
      </w:pPr>
      <w:r>
        <w:rPr>
          <w:rFonts w:ascii="Calibri" w:cs="Calibri" w:eastAsia="Calibri" w:hAnsi="Calibri"/>
          <w:b/>
          <w:bCs/>
          <w:color w:val="1E7E99"/>
          <w:sz w:val="23"/>
          <w:szCs w:val="23"/>
        </w:rPr>
        <w:t xml:space="preserve">13.3 Review</w:t>
      </w:r>
    </w:p>
    <w:p>
      <w:pPr>
        <w:spacing w:after="140" w:line="276"/>
      </w:pPr>
      <w:r>
        <w:rPr>
          <w:rFonts w:ascii="Calibri" w:cs="Calibri" w:eastAsia="Calibri" w:hAnsi="Calibri"/>
          <w:color w:val="33475B"/>
          <w:sz w:val="21"/>
          <w:szCs w:val="21"/>
        </w:rPr>
        <w:t xml:space="preserve">This policy is reviewed [annually] and whenever:</w:t>
      </w:r>
    </w:p>
    <w:p>
      <w:pPr>
        <w:pStyle w:val="ListParagraph"/>
        <w:numPr>
          <w:ilvl w:val="0"/>
          <w:numId w:val="2"/>
        </w:numPr>
        <w:spacing w:after="80" w:line="276"/>
      </w:pPr>
      <w:r>
        <w:rPr>
          <w:rFonts w:ascii="Calibri" w:cs="Calibri" w:eastAsia="Calibri" w:hAnsi="Calibri"/>
          <w:color w:val="33475B"/>
          <w:sz w:val="21"/>
          <w:szCs w:val="21"/>
        </w:rPr>
        <w:t xml:space="preserve">A new category of AI tool is adopted</w:t>
      </w:r>
    </w:p>
    <w:p>
      <w:pPr>
        <w:pStyle w:val="ListParagraph"/>
        <w:numPr>
          <w:ilvl w:val="0"/>
          <w:numId w:val="2"/>
        </w:numPr>
        <w:spacing w:after="80" w:line="276"/>
      </w:pPr>
      <w:r>
        <w:rPr>
          <w:rFonts w:ascii="Calibri" w:cs="Calibri" w:eastAsia="Calibri" w:hAnsi="Calibri"/>
          <w:color w:val="33475B"/>
          <w:sz w:val="21"/>
          <w:szCs w:val="21"/>
        </w:rPr>
        <w:t xml:space="preserve">A significant regulatory change occurs in a jurisdiction where we operate</w:t>
      </w:r>
    </w:p>
    <w:p>
      <w:pPr>
        <w:pStyle w:val="ListParagraph"/>
        <w:numPr>
          <w:ilvl w:val="0"/>
          <w:numId w:val="2"/>
        </w:numPr>
        <w:spacing w:after="80" w:line="276"/>
      </w:pPr>
      <w:r>
        <w:rPr>
          <w:rFonts w:ascii="Calibri" w:cs="Calibri" w:eastAsia="Calibri" w:hAnsi="Calibri"/>
          <w:color w:val="33475B"/>
          <w:sz w:val="21"/>
          <w:szCs w:val="21"/>
        </w:rPr>
        <w:t xml:space="preserve">An incident indicates a gap</w:t>
      </w:r>
    </w:p>
    <w:p>
      <w:pPr>
        <w:pStyle w:val="ListParagraph"/>
        <w:numPr>
          <w:ilvl w:val="0"/>
          <w:numId w:val="2"/>
        </w:numPr>
        <w:spacing w:after="80" w:line="276"/>
      </w:pPr>
      <w:r>
        <w:rPr>
          <w:rFonts w:ascii="Calibri" w:cs="Calibri" w:eastAsia="Calibri" w:hAnsi="Calibri"/>
          <w:color w:val="33475B"/>
          <w:sz w:val="21"/>
          <w:szCs w:val="21"/>
        </w:rPr>
        <w:t xml:space="preserve">A major vendor materially changes its terms</w:t>
      </w:r>
    </w:p>
    <w:tbl>
      <w:tblPr>
        <w:tblW w:type="dxa" w:w="9360"/>
        <w:tblBorders>
          <w:top w:val="single" w:color="D4DCE4" w:sz="2"/>
          <w:left w:val="single" w:color="C25F08" w:sz="18"/>
          <w:bottom w:val="single" w:color="D4DCE4" w:sz="2"/>
          <w:right w:val="single" w:color="D4DCE4" w:sz="2"/>
          <w:insideH w:val="none"/>
          <w:insideV w:val="none"/>
        </w:tblBorders>
      </w:tblPr>
      <w:tblGrid>
        <w:gridCol w:w="9360"/>
      </w:tblGrid>
      <w:tr>
        <w:tc>
          <w:tcPr>
            <w:tcW w:type="dxa" w:w="9360"/>
            <w:shd w:fill="F4F7FA" w:color="auto" w:val="clear"/>
            <w:tcMar>
              <w:top w:type="dxa" w:w="140"/>
              <w:left w:type="dxa" w:w="180"/>
              <w:bottom w:type="dxa" w:w="140"/>
              <w:right w:type="dxa" w:w="180"/>
            </w:tcMar>
          </w:tcPr>
          <w:p>
            <w:pPr>
              <w:spacing w:after="60"/>
            </w:pPr>
            <w:r>
              <w:rPr>
                <w:rFonts w:ascii="Calibri" w:cs="Calibri" w:eastAsia="Calibri" w:hAnsi="Calibri"/>
                <w:b/>
                <w:bCs/>
                <w:color w:val="C25F08"/>
                <w:sz w:val="17"/>
                <w:szCs w:val="17"/>
              </w:rPr>
              <w:t xml:space="preserve">DRAFTING NOTE — Set a real review date</w:t>
            </w:r>
          </w:p>
          <w:p>
            <w:pPr>
              <w:spacing w:after="0" w:line="260"/>
            </w:pPr>
            <w:r>
              <w:rPr>
                <w:rFonts w:ascii="Calibri" w:cs="Calibri" w:eastAsia="Calibri" w:hAnsi="Calibri"/>
                <w:i/>
                <w:iCs/>
                <w:color w:val="6B8BA4"/>
                <w:sz w:val="18"/>
                <w:szCs w:val="18"/>
              </w:rPr>
              <w:t xml:space="preserve">AI vendor terms and AI regulation are both moving faster than most policy cycles. An annual review is the minimum; semi-annual is more realistic for the next few years. Put the date in a calendar, with an owner.</w:t>
            </w:r>
          </w:p>
        </w:tc>
      </w:tr>
    </w:tbl>
    <w:p>
      <w:r>
        <w:br w:type="page"/>
      </w:r>
    </w:p>
    <w:p>
      <w:pPr>
        <w:pStyle w:val="Heading1"/>
        <w:spacing w:after="160" w:before="340"/>
      </w:pPr>
      <w:r>
        <w:rPr>
          <w:rFonts w:ascii="Calibri" w:cs="Calibri" w:eastAsia="Calibri" w:hAnsi="Calibri"/>
          <w:b/>
          <w:bCs/>
          <w:color w:val="0A1628"/>
          <w:sz w:val="28"/>
          <w:szCs w:val="28"/>
        </w:rPr>
        <w:t xml:space="preserve">Acknowledgement</w:t>
      </w:r>
    </w:p>
    <w:p>
      <w:pPr>
        <w:spacing w:after="140" w:line="276"/>
      </w:pPr>
      <w:r>
        <w:rPr>
          <w:rFonts w:ascii="Calibri" w:cs="Calibri" w:eastAsia="Calibri" w:hAnsi="Calibri"/>
          <w:color w:val="6B8BA4"/>
          <w:sz w:val="21"/>
          <w:szCs w:val="21"/>
        </w:rPr>
        <w:t xml:space="preserve">Complete, sign, and return to [HR / Policy Owner].</w:t>
      </w:r>
    </w:p>
    <w:p/>
    <w:p>
      <w:pPr>
        <w:spacing w:after="140" w:line="276"/>
      </w:pPr>
      <w:r>
        <w:rPr>
          <w:rFonts w:ascii="Calibri" w:cs="Calibri" w:eastAsia="Calibri" w:hAnsi="Calibri"/>
          <w:color w:val="33475B"/>
          <w:sz w:val="21"/>
          <w:szCs w:val="21"/>
        </w:rPr>
        <w:t xml:space="preserve">I confirm that I have read and understood the [Organization] Artificial Intelligence Acceptable Use Policy, version [1.0], effective [YYYY-MM-DD].</w:t>
      </w:r>
    </w:p>
    <w:p>
      <w:pPr>
        <w:spacing w:after="140" w:line="276"/>
      </w:pPr>
      <w:r>
        <w:rPr>
          <w:rFonts w:ascii="Calibri" w:cs="Calibri" w:eastAsia="Calibri" w:hAnsi="Calibri"/>
          <w:color w:val="33475B"/>
          <w:sz w:val="21"/>
          <w:szCs w:val="21"/>
        </w:rPr>
        <w:t xml:space="preserve">I understand that:</w:t>
      </w:r>
    </w:p>
    <w:p>
      <w:pPr>
        <w:pStyle w:val="ListParagraph"/>
        <w:numPr>
          <w:ilvl w:val="0"/>
          <w:numId w:val="2"/>
        </w:numPr>
        <w:spacing w:after="80" w:line="276"/>
      </w:pPr>
      <w:r>
        <w:rPr>
          <w:rFonts w:ascii="Calibri" w:cs="Calibri" w:eastAsia="Calibri" w:hAnsi="Calibri"/>
          <w:color w:val="33475B"/>
          <w:sz w:val="21"/>
          <w:szCs w:val="21"/>
        </w:rPr>
        <w:t xml:space="preserve">I may use only the AI tools listed in the Approved AI Tool Register, within the conditions recorded there</w:t>
      </w:r>
    </w:p>
    <w:p>
      <w:pPr>
        <w:pStyle w:val="ListParagraph"/>
        <w:numPr>
          <w:ilvl w:val="0"/>
          <w:numId w:val="2"/>
        </w:numPr>
        <w:spacing w:after="80" w:line="276"/>
      </w:pPr>
      <w:r>
        <w:rPr>
          <w:rFonts w:ascii="Calibri" w:cs="Calibri" w:eastAsia="Calibri" w:hAnsi="Calibri"/>
          <w:color w:val="33475B"/>
          <w:sz w:val="21"/>
          <w:szCs w:val="21"/>
        </w:rPr>
        <w:t xml:space="preserve">I must not enter restricted data into any AI tool</w:t>
      </w:r>
    </w:p>
    <w:p>
      <w:pPr>
        <w:pStyle w:val="ListParagraph"/>
        <w:numPr>
          <w:ilvl w:val="0"/>
          <w:numId w:val="2"/>
        </w:numPr>
        <w:spacing w:after="80" w:line="276"/>
      </w:pPr>
      <w:r>
        <w:rPr>
          <w:rFonts w:ascii="Calibri" w:cs="Calibri" w:eastAsia="Calibri" w:hAnsi="Calibri"/>
          <w:color w:val="33475B"/>
          <w:sz w:val="21"/>
          <w:szCs w:val="21"/>
        </w:rPr>
        <w:t xml:space="preserve">I remain accountable for any output I produce with AI assistance</w:t>
      </w:r>
    </w:p>
    <w:p>
      <w:pPr>
        <w:pStyle w:val="ListParagraph"/>
        <w:numPr>
          <w:ilvl w:val="0"/>
          <w:numId w:val="2"/>
        </w:numPr>
        <w:spacing w:after="80" w:line="276"/>
      </w:pPr>
      <w:r>
        <w:rPr>
          <w:rFonts w:ascii="Calibri" w:cs="Calibri" w:eastAsia="Calibri" w:hAnsi="Calibri"/>
          <w:color w:val="33475B"/>
          <w:sz w:val="21"/>
          <w:szCs w:val="21"/>
        </w:rPr>
        <w:t xml:space="preserve">I must report incidents promptly, and that doing so is the expected response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shd w:fill="0A1628" w:color="auto" w:val="clear"/>
            <w:tcMar>
              <w:top w:type="dxa" w:w="90"/>
              <w:left w:type="dxa" w:w="130"/>
              <w:bottom w:type="dxa" w:w="90"/>
              <w:right w:type="dxa" w:w="130"/>
            </w:tcMar>
          </w:tcPr>
          <w:p>
            <w:pPr>
              <w:spacing w:after="0" w:line="260"/>
            </w:pPr>
            <w:r>
              <w:rPr>
                <w:rFonts w:ascii="Calibri" w:cs="Calibri" w:eastAsia="Calibri" w:hAnsi="Calibri"/>
                <w:b/>
                <w:bCs/>
                <w:color w:val="FFFFFF"/>
                <w:sz w:val="18"/>
                <w:szCs w:val="18"/>
              </w:rPr>
              <w:t xml:space="preserve">Field</w:t>
            </w:r>
          </w:p>
        </w:tc>
        <w:tc>
          <w:tcPr>
            <w:tcW w:type="dxa" w:w="6760"/>
            <w:shd w:fill="0A1628" w:color="auto" w:val="clear"/>
            <w:tcMar>
              <w:top w:type="dxa" w:w="90"/>
              <w:left w:type="dxa" w:w="130"/>
              <w:bottom w:type="dxa" w:w="90"/>
              <w:right w:type="dxa" w:w="130"/>
            </w:tcMar>
          </w:tcPr>
          <w:p>
            <w:pPr>
              <w:spacing w:after="0" w:line="260"/>
            </w:pPr>
            <w:r>
              <w:rPr>
                <w:rFonts w:ascii="Calibri" w:cs="Calibri" w:eastAsia="Calibri" w:hAnsi="Calibri"/>
                <w:b/>
                <w:bCs/>
                <w:color w:val="FFFFFF"/>
                <w:sz w:val="18"/>
                <w:szCs w:val="18"/>
              </w:rPr>
              <w:t xml:space="preserve">Entry</w:t>
            </w:r>
          </w:p>
        </w:tc>
      </w:tr>
      <w:tr>
        <w:tc>
          <w:tcPr>
            <w:tcW w:type="dxa" w:w="26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Full name</w:t>
            </w:r>
          </w:p>
        </w:tc>
        <w:tc>
          <w:tcPr>
            <w:tcW w:type="dxa" w:w="67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
            </w:r>
          </w:p>
        </w:tc>
      </w:tr>
      <w:tr>
        <w:tc>
          <w:tcPr>
            <w:tcW w:type="dxa" w:w="26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Job title</w:t>
            </w:r>
          </w:p>
        </w:tc>
        <w:tc>
          <w:tcPr>
            <w:tcW w:type="dxa" w:w="676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
            </w:r>
          </w:p>
        </w:tc>
      </w:tr>
      <w:tr>
        <w:tc>
          <w:tcPr>
            <w:tcW w:type="dxa" w:w="26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Department</w:t>
            </w:r>
          </w:p>
        </w:tc>
        <w:tc>
          <w:tcPr>
            <w:tcW w:type="dxa" w:w="67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
            </w:r>
          </w:p>
        </w:tc>
      </w:tr>
      <w:tr>
        <w:tc>
          <w:tcPr>
            <w:tcW w:type="dxa" w:w="260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Signature</w:t>
            </w:r>
          </w:p>
        </w:tc>
        <w:tc>
          <w:tcPr>
            <w:tcW w:type="dxa" w:w="6760"/>
            <w:shd w:fill="F4F7FA" w:color="auto" w:val="clear"/>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
            </w:r>
          </w:p>
        </w:tc>
      </w:tr>
      <w:tr>
        <w:tc>
          <w:tcPr>
            <w:tcW w:type="dxa" w:w="260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Date</w:t>
            </w:r>
          </w:p>
        </w:tc>
        <w:tc>
          <w:tcPr>
            <w:tcW w:type="dxa" w:w="6760"/>
            <w:tcMar>
              <w:top w:type="dxa" w:w="90"/>
              <w:left w:type="dxa" w:w="130"/>
              <w:bottom w:type="dxa" w:w="90"/>
              <w:right w:type="dxa" w:w="130"/>
            </w:tcMar>
          </w:tcPr>
          <w:p>
            <w:pPr>
              <w:spacing w:after="0" w:line="260"/>
            </w:pPr>
            <w:r>
              <w:rPr>
                <w:rFonts w:ascii="Calibri" w:cs="Calibri" w:eastAsia="Calibri" w:hAnsi="Calibri"/>
                <w:color w:val="33475B"/>
                <w:sz w:val="19"/>
                <w:szCs w:val="19"/>
              </w:rPr>
              <w:t xml:space="preserve"/>
            </w:r>
          </w:p>
        </w:tc>
      </w:tr>
    </w:tbl>
    <w:p/>
    <w:p/>
    <w:tbl>
      <w:tblPr>
        <w:tblW w:type="dxa" w:w="9360"/>
        <w:tblBorders>
          <w:top w:val="single" w:color="D4DCE4" w:sz="2"/>
          <w:left w:val="single" w:color="C25F08" w:sz="18"/>
          <w:bottom w:val="single" w:color="D4DCE4" w:sz="2"/>
          <w:right w:val="single" w:color="D4DCE4" w:sz="2"/>
          <w:insideH w:val="none"/>
          <w:insideV w:val="none"/>
        </w:tblBorders>
      </w:tblPr>
      <w:tblGrid>
        <w:gridCol w:w="9360"/>
      </w:tblGrid>
      <w:tr>
        <w:tc>
          <w:tcPr>
            <w:tcW w:type="dxa" w:w="9360"/>
            <w:shd w:fill="F4F7FA" w:color="auto" w:val="clear"/>
            <w:tcMar>
              <w:top w:type="dxa" w:w="140"/>
              <w:left w:type="dxa" w:w="180"/>
              <w:bottom w:type="dxa" w:w="140"/>
              <w:right w:type="dxa" w:w="180"/>
            </w:tcMar>
          </w:tcPr>
          <w:p>
            <w:pPr>
              <w:spacing w:after="60"/>
            </w:pPr>
            <w:r>
              <w:rPr>
                <w:rFonts w:ascii="Calibri" w:cs="Calibri" w:eastAsia="Calibri" w:hAnsi="Calibri"/>
                <w:b/>
                <w:bCs/>
                <w:color w:val="C25F08"/>
                <w:sz w:val="17"/>
                <w:szCs w:val="17"/>
              </w:rPr>
              <w:t xml:space="preserve">DRAFTING NOTE — Companion resources</w:t>
            </w:r>
          </w:p>
          <w:p>
            <w:pPr>
              <w:spacing w:after="0" w:line="260"/>
            </w:pPr>
            <w:r>
              <w:rPr>
                <w:rFonts w:ascii="Calibri" w:cs="Calibri" w:eastAsia="Calibri" w:hAnsi="Calibri"/>
                <w:i/>
                <w:iCs/>
                <w:color w:val="6B8BA4"/>
                <w:sz w:val="18"/>
                <w:szCs w:val="18"/>
              </w:rPr>
              <w:t xml:space="preserve">This template pairs with the AI Tool Inventory &amp; Governance Register (spreadsheet) and Executive Brief Series 002, The CIO's Guide to Microsoft 365 Copilot Governance — both available at operationalitam.com/pages/resources.html</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8BA4"/>
        <w:sz w:val="15"/>
        <w:szCs w:val="15"/>
      </w:rPr>
      <w:t xml:space="preserve">Operational ITAM · EpicB Media LLC · contact@operationalitam.com    |    Page </w:t>
    </w:r>
    <w:r>
      <w:rPr>
        <w:rFonts w:ascii="Calibri" w:cs="Calibri" w:eastAsia="Calibri" w:hAnsi="Calibri"/>
        <w:color w:val="6B8BA4"/>
        <w:sz w:val="15"/>
        <w:szCs w:val="15"/>
      </w:rPr>
      <w:fldChar w:fldCharType="begin"/>
      <w:instrText xml:space="preserve">PAGE</w:instrText>
      <w:fldChar w:fldCharType="separate"/>
      <w:fldChar w:fldCharType="end"/>
    </w:r>
    <w:r>
      <w:rPr>
        <w:rFonts w:ascii="Calibri" w:cs="Calibri" w:eastAsia="Calibri" w:hAnsi="Calibri"/>
        <w:color w:val="6B8BA4"/>
        <w:sz w:val="15"/>
        <w:szCs w:val="15"/>
      </w:rPr>
      <w:t xml:space="preserve"> of </w:t>
    </w:r>
    <w:r>
      <w:rPr>
        <w:rFonts w:ascii="Calibri" w:cs="Calibri" w:eastAsia="Calibri" w:hAnsi="Calibri"/>
        <w:color w:val="6B8BA4"/>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4DCE4" w:sz="4"/>
      </w:pBdr>
      <w:spacing w:after="60"/>
    </w:pPr>
    <w:r>
      <w:rPr>
        <w:rFonts w:ascii="Calibri" w:cs="Calibri" w:eastAsia="Calibri" w:hAnsi="Calibri"/>
        <w:b/>
        <w:bCs/>
        <w:color w:val="1E7E99"/>
        <w:sz w:val="15"/>
        <w:szCs w:val="15"/>
      </w:rPr>
      <w:t xml:space="preserve">OPERATIONAL ITAM</w:t>
    </w:r>
    <w:r>
      <w:rPr>
        <w:rFonts w:ascii="Calibri" w:cs="Calibri" w:eastAsia="Calibri" w:hAnsi="Calibri"/>
        <w:color w:val="6B8BA4"/>
        <w:sz w:val="15"/>
        <w:szCs w:val="15"/>
      </w:rPr>
      <w:t xml:space="preserve">   ·   AI Acceptable Use Policy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50"/>
      </w:pPr>
    </w:lvl>
    <w:lvl w:ilvl="1" w15:tentative="1">
      <w:start w:val="1"/>
      <w:numFmt w:val="bullet"/>
      <w:lvlText w:val="◦"/>
      <w:lvlJc w:val="left"/>
      <w:pPr>
        <w:ind w:left="900" w:hanging="25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Acceptable Use Policy Template</dc:title>
  <dc:creator>Operational ITAM — EpicB Media LLC</dc:creator>
  <dc:description>Editable AI acceptable use policy template</dc:description>
  <cp:lastModifiedBy>Un-named</cp:lastModifiedBy>
  <cp:revision>1</cp:revision>
  <dcterms:created xsi:type="dcterms:W3CDTF">2026-08-02T20:41:15.288Z</dcterms:created>
  <dcterms:modified xsi:type="dcterms:W3CDTF">2026-08-02T20:41:15.304Z</dcterms:modified>
</cp:coreProperties>
</file>

<file path=docProps/custom.xml><?xml version="1.0" encoding="utf-8"?>
<Properties xmlns="http://schemas.openxmlformats.org/officeDocument/2006/custom-properties" xmlns:vt="http://schemas.openxmlformats.org/officeDocument/2006/docPropsVTypes"/>
</file>